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86D" w:rsidRDefault="008F17A2" w:rsidP="008F17A2">
      <w:pPr>
        <w:autoSpaceDE w:val="0"/>
        <w:autoSpaceDN w:val="0"/>
        <w:adjustRightInd w:val="0"/>
        <w:ind w:left="331"/>
        <w:jc w:val="right"/>
        <w:rPr>
          <w:rFonts w:ascii="Calibri" w:eastAsia="Calibri" w:hAnsi="Calibri" w:cs="Calibri"/>
          <w:color w:val="7030A0"/>
          <w:spacing w:val="0"/>
          <w:sz w:val="36"/>
          <w:szCs w:val="36"/>
          <w:lang w:val="es-ES"/>
        </w:rPr>
      </w:pPr>
      <w:r>
        <w:rPr>
          <w:rFonts w:ascii="Calibri" w:eastAsia="Calibri" w:hAnsi="Calibri" w:cs="Calibri"/>
          <w:color w:val="7030A0"/>
          <w:spacing w:val="0"/>
          <w:sz w:val="36"/>
          <w:szCs w:val="36"/>
          <w:lang w:val="es-ES"/>
        </w:rPr>
        <w:t>P</w:t>
      </w:r>
      <w:r w:rsidRPr="008F17A2">
        <w:rPr>
          <w:rFonts w:ascii="Calibri" w:eastAsia="Calibri" w:hAnsi="Calibri" w:cs="Calibri"/>
          <w:color w:val="7030A0"/>
          <w:spacing w:val="0"/>
          <w:sz w:val="36"/>
          <w:szCs w:val="36"/>
          <w:lang w:val="es-ES"/>
        </w:rPr>
        <w:t xml:space="preserve">olítica nacional e inversión extranjera directa en </w:t>
      </w:r>
      <w:r>
        <w:rPr>
          <w:rFonts w:ascii="Calibri" w:eastAsia="Calibri" w:hAnsi="Calibri" w:cs="Calibri"/>
          <w:color w:val="7030A0"/>
          <w:spacing w:val="0"/>
          <w:sz w:val="36"/>
          <w:szCs w:val="36"/>
          <w:lang w:val="es-ES"/>
        </w:rPr>
        <w:t>M</w:t>
      </w:r>
      <w:r w:rsidRPr="008F17A2">
        <w:rPr>
          <w:rFonts w:ascii="Calibri" w:eastAsia="Calibri" w:hAnsi="Calibri" w:cs="Calibri"/>
          <w:color w:val="7030A0"/>
          <w:spacing w:val="0"/>
          <w:sz w:val="36"/>
          <w:szCs w:val="36"/>
          <w:lang w:val="es-ES"/>
        </w:rPr>
        <w:t>éxico en el entorno internacional</w:t>
      </w:r>
    </w:p>
    <w:p w:rsidR="008F17A2" w:rsidRPr="00BC1733" w:rsidRDefault="00F039A1" w:rsidP="008F17A2">
      <w:pPr>
        <w:autoSpaceDE w:val="0"/>
        <w:autoSpaceDN w:val="0"/>
        <w:adjustRightInd w:val="0"/>
        <w:ind w:left="331"/>
        <w:jc w:val="right"/>
        <w:rPr>
          <w:rFonts w:ascii="Calibri" w:eastAsia="Calibri" w:hAnsi="Calibri" w:cs="Calibri"/>
          <w:i/>
          <w:color w:val="7030A0"/>
          <w:spacing w:val="0"/>
          <w:sz w:val="36"/>
          <w:szCs w:val="36"/>
          <w:lang w:val="en-US"/>
        </w:rPr>
      </w:pPr>
      <w:r w:rsidRPr="00BC1733">
        <w:rPr>
          <w:rFonts w:ascii="Calibri" w:eastAsia="Calibri" w:hAnsi="Calibri" w:cs="Calibri"/>
          <w:i/>
          <w:color w:val="7030A0"/>
          <w:spacing w:val="0"/>
          <w:sz w:val="28"/>
          <w:szCs w:val="36"/>
          <w:lang w:val="en-US"/>
        </w:rPr>
        <w:t>National policy and foreign direct investment in Mexico in the international environment</w:t>
      </w:r>
    </w:p>
    <w:p w:rsidR="003B4AB7" w:rsidRPr="00BC1733" w:rsidRDefault="003B4AB7" w:rsidP="00A340C1">
      <w:pPr>
        <w:spacing w:line="480" w:lineRule="auto"/>
        <w:jc w:val="center"/>
        <w:rPr>
          <w:rFonts w:ascii="Arial" w:hAnsi="Arial" w:cs="Arial"/>
          <w:b/>
          <w:sz w:val="24"/>
          <w:lang w:val="en-US"/>
        </w:rPr>
      </w:pPr>
    </w:p>
    <w:p w:rsidR="00EB7194" w:rsidRPr="003B4AB7" w:rsidRDefault="003B4AB7" w:rsidP="008F17A2">
      <w:pPr>
        <w:spacing w:after="0"/>
        <w:jc w:val="right"/>
        <w:rPr>
          <w:rFonts w:ascii="Arial" w:hAnsi="Arial" w:cs="Arial"/>
          <w:sz w:val="24"/>
        </w:rPr>
      </w:pPr>
      <w:r w:rsidRPr="008F17A2">
        <w:rPr>
          <w:rFonts w:ascii="Calibri" w:eastAsia="Calibri" w:hAnsi="Calibri" w:cs="Calibri"/>
          <w:b/>
          <w:color w:val="auto"/>
          <w:spacing w:val="0"/>
          <w:sz w:val="24"/>
          <w:lang w:val="es-ES"/>
        </w:rPr>
        <w:t>Priscila Ortega Gómez</w:t>
      </w:r>
      <w:r w:rsidR="008F17A2">
        <w:rPr>
          <w:rFonts w:ascii="Calibri" w:eastAsia="Calibri" w:hAnsi="Calibri" w:cs="Calibri"/>
          <w:b/>
          <w:color w:val="auto"/>
          <w:spacing w:val="0"/>
          <w:sz w:val="24"/>
          <w:lang w:val="es-ES"/>
        </w:rPr>
        <w:br/>
      </w:r>
      <w:r w:rsidR="008F17A2" w:rsidRPr="008F17A2">
        <w:rPr>
          <w:rFonts w:ascii="Calibri" w:eastAsia="Calibri" w:hAnsi="Calibri" w:cs="Calibri"/>
          <w:color w:val="auto"/>
          <w:spacing w:val="0"/>
          <w:sz w:val="24"/>
          <w:lang w:val="es-ES"/>
        </w:rPr>
        <w:t>Universidad Michoacana de San Nicolás de Hidalgo</w:t>
      </w:r>
      <w:r w:rsidR="00BC1733">
        <w:rPr>
          <w:rFonts w:ascii="Calibri" w:eastAsia="Calibri" w:hAnsi="Calibri" w:cs="Calibri"/>
          <w:color w:val="auto"/>
          <w:spacing w:val="0"/>
          <w:sz w:val="24"/>
          <w:lang w:val="es-ES"/>
        </w:rPr>
        <w:t>, México</w:t>
      </w:r>
      <w:bookmarkStart w:id="0" w:name="_GoBack"/>
      <w:bookmarkEnd w:id="0"/>
      <w:r w:rsidR="008F17A2">
        <w:rPr>
          <w:rFonts w:ascii="Arial" w:hAnsi="Arial" w:cs="Arial"/>
          <w:sz w:val="24"/>
        </w:rPr>
        <w:br/>
      </w:r>
      <w:r w:rsidR="008F17A2" w:rsidRPr="008F17A2">
        <w:rPr>
          <w:rStyle w:val="Hipervnculo"/>
          <w:rFonts w:ascii="Calibri" w:eastAsia="Calibri" w:hAnsi="Calibri" w:cs="Calibri"/>
          <w:color w:val="FF0000"/>
          <w:spacing w:val="0"/>
          <w:sz w:val="24"/>
          <w:u w:val="none"/>
        </w:rPr>
        <w:t>prisog@hotmail.com</w:t>
      </w:r>
    </w:p>
    <w:p w:rsidR="003B4AB7" w:rsidRDefault="003B4AB7" w:rsidP="007E0ECE">
      <w:pPr>
        <w:spacing w:line="480" w:lineRule="auto"/>
        <w:rPr>
          <w:rFonts w:ascii="Arial" w:hAnsi="Arial" w:cs="Arial"/>
          <w:b/>
          <w:sz w:val="24"/>
        </w:rPr>
      </w:pPr>
    </w:p>
    <w:p w:rsidR="00307CB8" w:rsidRPr="00EB7194" w:rsidRDefault="008F17A2" w:rsidP="008F17A2">
      <w:pPr>
        <w:pStyle w:val="NormalWeb"/>
        <w:jc w:val="both"/>
        <w:rPr>
          <w:rFonts w:ascii="Arial" w:hAnsi="Arial" w:cs="Arial"/>
          <w:b/>
          <w:sz w:val="24"/>
        </w:rPr>
      </w:pPr>
      <w:r>
        <w:rPr>
          <w:rFonts w:ascii="Calibri" w:eastAsia="Times New Roman" w:hAnsi="Calibri" w:cs="Calibri"/>
          <w:color w:val="7030A0"/>
          <w:sz w:val="28"/>
          <w:szCs w:val="28"/>
          <w:lang w:val="es-ES"/>
        </w:rPr>
        <w:t>R</w:t>
      </w:r>
      <w:r w:rsidRPr="008F17A2">
        <w:rPr>
          <w:rFonts w:ascii="Calibri" w:eastAsia="Times New Roman" w:hAnsi="Calibri" w:cs="Calibri"/>
          <w:color w:val="7030A0"/>
          <w:sz w:val="28"/>
          <w:szCs w:val="28"/>
          <w:lang w:val="es-ES"/>
        </w:rPr>
        <w:t>esumen</w:t>
      </w:r>
    </w:p>
    <w:p w:rsidR="00307CB8" w:rsidRPr="00DE7E31" w:rsidRDefault="00307CB8" w:rsidP="008F17A2">
      <w:pPr>
        <w:spacing w:line="360" w:lineRule="auto"/>
        <w:jc w:val="both"/>
        <w:rPr>
          <w:rFonts w:ascii="Arial" w:hAnsi="Arial" w:cs="Arial"/>
          <w:sz w:val="24"/>
        </w:rPr>
      </w:pPr>
      <w:r w:rsidRPr="008F17A2">
        <w:rPr>
          <w:sz w:val="24"/>
        </w:rPr>
        <w:t xml:space="preserve">La presente investigación tiene como objetivo </w:t>
      </w:r>
      <w:r w:rsidR="00767458" w:rsidRPr="008F17A2">
        <w:rPr>
          <w:sz w:val="24"/>
        </w:rPr>
        <w:t xml:space="preserve">medir </w:t>
      </w:r>
      <w:r w:rsidR="00FC0101" w:rsidRPr="008F17A2">
        <w:rPr>
          <w:sz w:val="24"/>
        </w:rPr>
        <w:t>los efectos de</w:t>
      </w:r>
      <w:r w:rsidR="00767458" w:rsidRPr="008F17A2">
        <w:rPr>
          <w:sz w:val="24"/>
        </w:rPr>
        <w:t xml:space="preserve"> las modificaciones políticas, económicas, sociales y administrativas sobre </w:t>
      </w:r>
      <w:r w:rsidRPr="008F17A2">
        <w:rPr>
          <w:sz w:val="24"/>
        </w:rPr>
        <w:t>la IED en México</w:t>
      </w:r>
      <w:r w:rsidR="00DE7E31" w:rsidRPr="008F17A2">
        <w:rPr>
          <w:sz w:val="24"/>
        </w:rPr>
        <w:t xml:space="preserve"> </w:t>
      </w:r>
      <w:r w:rsidR="00B649BD" w:rsidRPr="008F17A2">
        <w:rPr>
          <w:sz w:val="24"/>
        </w:rPr>
        <w:t>durante 1999</w:t>
      </w:r>
      <w:r w:rsidR="00456B52" w:rsidRPr="008F17A2">
        <w:rPr>
          <w:sz w:val="24"/>
        </w:rPr>
        <w:t xml:space="preserve"> </w:t>
      </w:r>
      <w:r w:rsidR="00B649BD" w:rsidRPr="008F17A2">
        <w:rPr>
          <w:sz w:val="24"/>
        </w:rPr>
        <w:t>–</w:t>
      </w:r>
      <w:r w:rsidR="00456B52" w:rsidRPr="008F17A2">
        <w:rPr>
          <w:sz w:val="24"/>
        </w:rPr>
        <w:t xml:space="preserve"> </w:t>
      </w:r>
      <w:r w:rsidR="00B649BD" w:rsidRPr="008F17A2">
        <w:rPr>
          <w:sz w:val="24"/>
        </w:rPr>
        <w:t xml:space="preserve">2013, </w:t>
      </w:r>
      <w:r w:rsidR="00DE7E31" w:rsidRPr="008F17A2">
        <w:rPr>
          <w:sz w:val="24"/>
        </w:rPr>
        <w:t>como resultado de las políticas de atracción de IED del gobierno mexicano y otros</w:t>
      </w:r>
      <w:r w:rsidR="00B649BD" w:rsidRPr="008F17A2">
        <w:rPr>
          <w:sz w:val="24"/>
        </w:rPr>
        <w:t xml:space="preserve"> factores externos derivados de</w:t>
      </w:r>
      <w:r w:rsidR="00DE7E31" w:rsidRPr="008F17A2">
        <w:rPr>
          <w:sz w:val="24"/>
        </w:rPr>
        <w:t xml:space="preserve"> cambios en la economía mundial</w:t>
      </w:r>
      <w:r w:rsidRPr="008F17A2">
        <w:rPr>
          <w:sz w:val="24"/>
        </w:rPr>
        <w:t xml:space="preserve">. Para </w:t>
      </w:r>
      <w:r w:rsidR="00F233AE" w:rsidRPr="008F17A2">
        <w:rPr>
          <w:sz w:val="24"/>
        </w:rPr>
        <w:t>ello</w:t>
      </w:r>
      <w:r w:rsidRPr="008F17A2">
        <w:rPr>
          <w:sz w:val="24"/>
        </w:rPr>
        <w:t>, se utiliza</w:t>
      </w:r>
      <w:r w:rsidR="00F233AE" w:rsidRPr="008F17A2">
        <w:rPr>
          <w:sz w:val="24"/>
        </w:rPr>
        <w:t>ro</w:t>
      </w:r>
      <w:r w:rsidRPr="008F17A2">
        <w:rPr>
          <w:sz w:val="24"/>
        </w:rPr>
        <w:t>n modelos econométricos de datos</w:t>
      </w:r>
      <w:r w:rsidR="00AC7274" w:rsidRPr="008F17A2">
        <w:rPr>
          <w:sz w:val="24"/>
        </w:rPr>
        <w:t xml:space="preserve"> </w:t>
      </w:r>
      <w:r w:rsidR="00AC7274" w:rsidRPr="008F17A2">
        <w:rPr>
          <w:color w:val="auto"/>
          <w:sz w:val="24"/>
        </w:rPr>
        <w:t>d</w:t>
      </w:r>
      <w:r w:rsidR="00455371" w:rsidRPr="008F17A2">
        <w:rPr>
          <w:color w:val="auto"/>
          <w:sz w:val="24"/>
        </w:rPr>
        <w:t>e</w:t>
      </w:r>
      <w:r w:rsidRPr="008F17A2">
        <w:rPr>
          <w:color w:val="auto"/>
          <w:sz w:val="24"/>
        </w:rPr>
        <w:t xml:space="preserve"> </w:t>
      </w:r>
      <w:r w:rsidRPr="008F17A2">
        <w:rPr>
          <w:sz w:val="24"/>
        </w:rPr>
        <w:t>panel</w:t>
      </w:r>
      <w:r w:rsidR="00FC0101" w:rsidRPr="008F17A2">
        <w:rPr>
          <w:sz w:val="24"/>
        </w:rPr>
        <w:t xml:space="preserve">. </w:t>
      </w:r>
      <w:r w:rsidRPr="008F17A2">
        <w:rPr>
          <w:sz w:val="24"/>
        </w:rPr>
        <w:t xml:space="preserve">Los resultados demuestran que </w:t>
      </w:r>
      <w:r w:rsidR="00F233AE" w:rsidRPr="008F17A2">
        <w:rPr>
          <w:sz w:val="24"/>
        </w:rPr>
        <w:t xml:space="preserve">los factores de tipo económico </w:t>
      </w:r>
      <w:r w:rsidRPr="008F17A2">
        <w:rPr>
          <w:sz w:val="24"/>
        </w:rPr>
        <w:t xml:space="preserve">inciden positivamente </w:t>
      </w:r>
      <w:r w:rsidR="00FC0101" w:rsidRPr="008F17A2">
        <w:rPr>
          <w:sz w:val="24"/>
        </w:rPr>
        <w:t xml:space="preserve">sobre la IED, </w:t>
      </w:r>
      <w:r w:rsidR="001A64BC" w:rsidRPr="008F17A2">
        <w:rPr>
          <w:sz w:val="24"/>
        </w:rPr>
        <w:t xml:space="preserve">mientras que </w:t>
      </w:r>
      <w:r w:rsidR="00FC0101" w:rsidRPr="008F17A2">
        <w:rPr>
          <w:sz w:val="24"/>
        </w:rPr>
        <w:t>los factores políticos, sociales y administrativos no tienen incidencia suficiente. Se concluye que l</w:t>
      </w:r>
      <w:r w:rsidRPr="008F17A2">
        <w:rPr>
          <w:sz w:val="24"/>
        </w:rPr>
        <w:t>os estados</w:t>
      </w:r>
      <w:r w:rsidR="00FC0101" w:rsidRPr="008F17A2">
        <w:rPr>
          <w:sz w:val="24"/>
        </w:rPr>
        <w:t xml:space="preserve"> con mejor desempeño económico </w:t>
      </w:r>
      <w:r w:rsidR="00F233AE" w:rsidRPr="008F17A2">
        <w:rPr>
          <w:sz w:val="24"/>
        </w:rPr>
        <w:t>e infraestructura</w:t>
      </w:r>
      <w:r w:rsidRPr="008F17A2">
        <w:rPr>
          <w:sz w:val="24"/>
        </w:rPr>
        <w:t xml:space="preserve"> tienen mayor capacidad de atracción de IE</w:t>
      </w:r>
      <w:r w:rsidR="00FC0101" w:rsidRPr="008F17A2">
        <w:rPr>
          <w:sz w:val="24"/>
        </w:rPr>
        <w:t>D</w:t>
      </w:r>
      <w:r w:rsidR="001E253E" w:rsidRPr="008F17A2">
        <w:rPr>
          <w:sz w:val="24"/>
        </w:rPr>
        <w:t>. La actual inestabilidad e inseguridad social aun no muestra efectos, mientras que las modificaciones políticas y los</w:t>
      </w:r>
      <w:r w:rsidR="00DE7E31" w:rsidRPr="008F17A2">
        <w:rPr>
          <w:sz w:val="24"/>
        </w:rPr>
        <w:t xml:space="preserve"> factores administrativos no resultan</w:t>
      </w:r>
      <w:r w:rsidR="001E253E" w:rsidRPr="008F17A2">
        <w:rPr>
          <w:sz w:val="24"/>
        </w:rPr>
        <w:t xml:space="preserve"> relevantes para los inversionistas</w:t>
      </w:r>
      <w:r w:rsidR="001E253E" w:rsidRPr="00DE7E31">
        <w:rPr>
          <w:rFonts w:ascii="Arial" w:hAnsi="Arial" w:cs="Arial"/>
          <w:sz w:val="24"/>
        </w:rPr>
        <w:t xml:space="preserve">.    </w:t>
      </w:r>
      <w:r w:rsidR="00FC0101" w:rsidRPr="00DE7E31">
        <w:rPr>
          <w:rFonts w:ascii="Arial" w:hAnsi="Arial" w:cs="Arial"/>
          <w:sz w:val="24"/>
        </w:rPr>
        <w:t xml:space="preserve"> </w:t>
      </w:r>
      <w:r w:rsidRPr="00DE7E31">
        <w:rPr>
          <w:rFonts w:ascii="Arial" w:hAnsi="Arial" w:cs="Arial"/>
          <w:sz w:val="24"/>
        </w:rPr>
        <w:t xml:space="preserve">     </w:t>
      </w:r>
    </w:p>
    <w:p w:rsidR="00F233AE" w:rsidRPr="00DE7E31" w:rsidRDefault="00767458" w:rsidP="006C2E9D">
      <w:pPr>
        <w:spacing w:line="480" w:lineRule="auto"/>
        <w:jc w:val="both"/>
        <w:rPr>
          <w:rFonts w:ascii="Arial" w:hAnsi="Arial" w:cs="Arial"/>
          <w:bCs/>
          <w:sz w:val="24"/>
        </w:rPr>
      </w:pPr>
      <w:r w:rsidRPr="008F17A2">
        <w:rPr>
          <w:rFonts w:ascii="Calibri" w:eastAsia="Times New Roman" w:hAnsi="Calibri" w:cs="Calibri"/>
          <w:color w:val="7030A0"/>
          <w:spacing w:val="0"/>
          <w:sz w:val="28"/>
          <w:szCs w:val="28"/>
          <w:lang w:val="es-ES" w:eastAsia="es-ES"/>
        </w:rPr>
        <w:t>Palabras clave:</w:t>
      </w:r>
      <w:r w:rsidRPr="00DE7E31">
        <w:rPr>
          <w:rFonts w:ascii="Arial" w:hAnsi="Arial" w:cs="Arial"/>
          <w:bCs/>
          <w:sz w:val="24"/>
        </w:rPr>
        <w:t xml:space="preserve"> </w:t>
      </w:r>
      <w:r w:rsidR="002D56C9" w:rsidRPr="008F17A2">
        <w:rPr>
          <w:sz w:val="24"/>
        </w:rPr>
        <w:t>in</w:t>
      </w:r>
      <w:r w:rsidR="006978D8" w:rsidRPr="008F17A2">
        <w:rPr>
          <w:sz w:val="24"/>
        </w:rPr>
        <w:t>versión</w:t>
      </w:r>
      <w:r w:rsidR="00FC0101" w:rsidRPr="008F17A2">
        <w:rPr>
          <w:sz w:val="24"/>
        </w:rPr>
        <w:t>,</w:t>
      </w:r>
      <w:r w:rsidR="00D867AA" w:rsidRPr="008F17A2">
        <w:rPr>
          <w:sz w:val="24"/>
        </w:rPr>
        <w:t xml:space="preserve"> </w:t>
      </w:r>
      <w:r w:rsidR="002D56C9" w:rsidRPr="008F17A2">
        <w:rPr>
          <w:sz w:val="24"/>
        </w:rPr>
        <w:t>f</w:t>
      </w:r>
      <w:r w:rsidR="007E0ECE" w:rsidRPr="008F17A2">
        <w:rPr>
          <w:sz w:val="24"/>
        </w:rPr>
        <w:t xml:space="preserve">actores económicos, </w:t>
      </w:r>
      <w:r w:rsidR="002D56C9" w:rsidRPr="008F17A2">
        <w:rPr>
          <w:sz w:val="24"/>
        </w:rPr>
        <w:t>f</w:t>
      </w:r>
      <w:r w:rsidR="007E0ECE" w:rsidRPr="008F17A2">
        <w:rPr>
          <w:sz w:val="24"/>
        </w:rPr>
        <w:t xml:space="preserve">actores </w:t>
      </w:r>
      <w:r w:rsidR="002D56C9" w:rsidRPr="008F17A2">
        <w:rPr>
          <w:sz w:val="24"/>
        </w:rPr>
        <w:t>p</w:t>
      </w:r>
      <w:r w:rsidR="007E0ECE" w:rsidRPr="008F17A2">
        <w:rPr>
          <w:sz w:val="24"/>
        </w:rPr>
        <w:t>olíticos.</w:t>
      </w:r>
    </w:p>
    <w:p w:rsidR="00F039A1" w:rsidRPr="00BC1733" w:rsidRDefault="00F039A1" w:rsidP="00F039A1">
      <w:pPr>
        <w:spacing w:line="480" w:lineRule="auto"/>
        <w:jc w:val="both"/>
        <w:rPr>
          <w:rFonts w:ascii="Calibri" w:eastAsia="Times New Roman" w:hAnsi="Calibri" w:cs="Calibri"/>
          <w:color w:val="7030A0"/>
          <w:spacing w:val="0"/>
          <w:sz w:val="28"/>
          <w:szCs w:val="28"/>
          <w:lang w:val="en-US" w:eastAsia="es-ES"/>
        </w:rPr>
      </w:pPr>
      <w:r w:rsidRPr="00BC1733">
        <w:rPr>
          <w:rFonts w:ascii="Calibri" w:eastAsia="Times New Roman" w:hAnsi="Calibri" w:cs="Calibri"/>
          <w:color w:val="7030A0"/>
          <w:spacing w:val="0"/>
          <w:sz w:val="28"/>
          <w:szCs w:val="28"/>
          <w:lang w:val="en-US" w:eastAsia="es-ES"/>
        </w:rPr>
        <w:t>Abstract</w:t>
      </w:r>
    </w:p>
    <w:p w:rsidR="00F039A1" w:rsidRPr="00BC1733" w:rsidRDefault="00F039A1" w:rsidP="00F039A1">
      <w:pPr>
        <w:spacing w:line="360" w:lineRule="auto"/>
        <w:jc w:val="both"/>
        <w:rPr>
          <w:rFonts w:ascii="Calibri" w:eastAsia="Times New Roman" w:hAnsi="Calibri" w:cs="Calibri"/>
          <w:color w:val="7030A0"/>
          <w:spacing w:val="0"/>
          <w:sz w:val="28"/>
          <w:szCs w:val="28"/>
          <w:lang w:val="en-US" w:eastAsia="es-ES"/>
        </w:rPr>
      </w:pPr>
      <w:r w:rsidRPr="00BC1733">
        <w:rPr>
          <w:sz w:val="24"/>
          <w:lang w:val="en-US"/>
        </w:rPr>
        <w:t xml:space="preserve">The present study aims to measure the effects of political, economic, social and administrative changes on FDI in Mexico during 1999-2013, as a result of the policies of attraction of FDI from the Mexican Government and other external factors arising from changes in the global economy. For this purpose, panel data econometric models were used. The results show that the economic factors have a positive impact on FDI, While the </w:t>
      </w:r>
      <w:r w:rsidRPr="00BC1733">
        <w:rPr>
          <w:sz w:val="24"/>
          <w:lang w:val="en-US"/>
        </w:rPr>
        <w:lastRenderedPageBreak/>
        <w:t>political, social and administrative factors do not have sufficient impact. It is concluded that States with better economic performance and infrastructure have a greater attraction of FDI. The current instability and social insecurity still does not show effects, while changes in political and administrative factors are not relevant for investors.</w:t>
      </w:r>
    </w:p>
    <w:p w:rsidR="00307CB8" w:rsidRPr="00BC1733" w:rsidRDefault="00F039A1" w:rsidP="00F039A1">
      <w:pPr>
        <w:spacing w:line="480" w:lineRule="auto"/>
        <w:jc w:val="both"/>
        <w:rPr>
          <w:sz w:val="24"/>
          <w:szCs w:val="20"/>
          <w:lang w:val="en-US"/>
        </w:rPr>
      </w:pPr>
      <w:r w:rsidRPr="00BC1733">
        <w:rPr>
          <w:rFonts w:ascii="Calibri" w:eastAsia="Times New Roman" w:hAnsi="Calibri" w:cs="Calibri"/>
          <w:color w:val="7030A0"/>
          <w:spacing w:val="0"/>
          <w:sz w:val="28"/>
          <w:szCs w:val="28"/>
          <w:lang w:val="en-US" w:eastAsia="es-ES"/>
        </w:rPr>
        <w:t xml:space="preserve">Key words: </w:t>
      </w:r>
      <w:r w:rsidRPr="00BC1733">
        <w:rPr>
          <w:sz w:val="24"/>
          <w:lang w:val="en-US"/>
        </w:rPr>
        <w:t>investment, economic factors, political factors.</w:t>
      </w:r>
    </w:p>
    <w:p w:rsidR="008F17A2" w:rsidRDefault="008F17A2" w:rsidP="006C2E9D">
      <w:pPr>
        <w:spacing w:line="480" w:lineRule="auto"/>
        <w:jc w:val="both"/>
        <w:rPr>
          <w:rFonts w:cs="Calibri"/>
        </w:rPr>
      </w:pPr>
      <w:r w:rsidRPr="00BC1733">
        <w:rPr>
          <w:b/>
          <w:sz w:val="24"/>
        </w:rPr>
        <w:t>Fecha recepción:</w:t>
      </w:r>
      <w:r w:rsidRPr="00BC1733">
        <w:rPr>
          <w:sz w:val="24"/>
        </w:rPr>
        <w:t xml:space="preserve">   </w:t>
      </w:r>
      <w:r w:rsidR="00967396" w:rsidRPr="00BC1733">
        <w:rPr>
          <w:sz w:val="24"/>
        </w:rPr>
        <w:t>Enero</w:t>
      </w:r>
      <w:r w:rsidRPr="00BC1733">
        <w:rPr>
          <w:sz w:val="24"/>
        </w:rPr>
        <w:t xml:space="preserve"> 2015           </w:t>
      </w:r>
      <w:r w:rsidRPr="00BC1733">
        <w:rPr>
          <w:b/>
          <w:sz w:val="24"/>
        </w:rPr>
        <w:t>Fecha aceptación:</w:t>
      </w:r>
      <w:r w:rsidRPr="00BC1733">
        <w:rPr>
          <w:sz w:val="24"/>
        </w:rPr>
        <w:t xml:space="preserve"> Ju</w:t>
      </w:r>
      <w:r w:rsidR="00967396" w:rsidRPr="00BC1733">
        <w:rPr>
          <w:sz w:val="24"/>
        </w:rPr>
        <w:t>l</w:t>
      </w:r>
      <w:r w:rsidRPr="00BC1733">
        <w:rPr>
          <w:sz w:val="24"/>
        </w:rPr>
        <w:t>io 2015</w:t>
      </w:r>
      <w:r w:rsidRPr="00BC1733">
        <w:rPr>
          <w:sz w:val="24"/>
        </w:rPr>
        <w:br/>
      </w:r>
      <w:r w:rsidR="006104A8">
        <w:rPr>
          <w:rFonts w:cs="Calibri"/>
        </w:rPr>
        <w:pict>
          <v:rect id="_x0000_i1025" style="width:0;height:1.5pt" o:hralign="center" o:hrstd="t" o:hr="t" fillcolor="#a0a0a0" stroked="f"/>
        </w:pict>
      </w:r>
    </w:p>
    <w:p w:rsidR="00510F25" w:rsidRPr="008F17A2" w:rsidRDefault="008F17A2" w:rsidP="006C2E9D">
      <w:pPr>
        <w:spacing w:line="480" w:lineRule="auto"/>
        <w:jc w:val="both"/>
        <w:rPr>
          <w:rFonts w:ascii="Calibri" w:eastAsia="Times New Roman" w:hAnsi="Calibri" w:cs="Calibri"/>
          <w:color w:val="7030A0"/>
          <w:spacing w:val="0"/>
          <w:sz w:val="28"/>
          <w:szCs w:val="28"/>
          <w:lang w:val="es-ES" w:eastAsia="es-ES"/>
        </w:rPr>
      </w:pPr>
      <w:r>
        <w:rPr>
          <w:rFonts w:ascii="Calibri" w:eastAsia="Times New Roman" w:hAnsi="Calibri" w:cs="Calibri"/>
          <w:color w:val="7030A0"/>
          <w:spacing w:val="0"/>
          <w:sz w:val="28"/>
          <w:szCs w:val="28"/>
          <w:lang w:val="es-ES" w:eastAsia="es-ES"/>
        </w:rPr>
        <w:t>I</w:t>
      </w:r>
      <w:r w:rsidRPr="008F17A2">
        <w:rPr>
          <w:rFonts w:ascii="Calibri" w:eastAsia="Times New Roman" w:hAnsi="Calibri" w:cs="Calibri"/>
          <w:color w:val="7030A0"/>
          <w:spacing w:val="0"/>
          <w:sz w:val="28"/>
          <w:szCs w:val="28"/>
          <w:lang w:val="es-ES" w:eastAsia="es-ES"/>
        </w:rPr>
        <w:t>ntroducción</w:t>
      </w:r>
    </w:p>
    <w:p w:rsidR="00307CB8" w:rsidRPr="008F17A2" w:rsidRDefault="00307CB8" w:rsidP="008F17A2">
      <w:pPr>
        <w:spacing w:line="360" w:lineRule="auto"/>
        <w:jc w:val="both"/>
        <w:rPr>
          <w:sz w:val="24"/>
        </w:rPr>
      </w:pPr>
      <w:r w:rsidRPr="008F17A2">
        <w:rPr>
          <w:sz w:val="24"/>
        </w:rPr>
        <w:t>A par</w:t>
      </w:r>
      <w:r w:rsidR="00AC7274" w:rsidRPr="008F17A2">
        <w:rPr>
          <w:sz w:val="24"/>
        </w:rPr>
        <w:t>tir de la década de los ochenta</w:t>
      </w:r>
      <w:r w:rsidRPr="008F17A2">
        <w:rPr>
          <w:sz w:val="24"/>
        </w:rPr>
        <w:t>, la intensificación de la globalización económica ha incrementado sustancialmente la movilidad internacional del capital a raíz de las masivas transferencias de capitales, en las cuales</w:t>
      </w:r>
      <w:r w:rsidR="00B649BD" w:rsidRPr="008F17A2">
        <w:rPr>
          <w:sz w:val="24"/>
        </w:rPr>
        <w:t>,</w:t>
      </w:r>
      <w:r w:rsidRPr="008F17A2">
        <w:rPr>
          <w:sz w:val="24"/>
        </w:rPr>
        <w:t xml:space="preserve"> la IED ha desempeñado un rol </w:t>
      </w:r>
      <w:r w:rsidR="00B649BD" w:rsidRPr="008F17A2">
        <w:rPr>
          <w:sz w:val="24"/>
        </w:rPr>
        <w:t>muy importante. Es así que</w:t>
      </w:r>
      <w:r w:rsidRPr="008F17A2">
        <w:rPr>
          <w:sz w:val="24"/>
        </w:rPr>
        <w:t xml:space="preserve"> tanto los flujos de IED como el comercio internacional han fungido como los canales pa</w:t>
      </w:r>
      <w:r w:rsidR="00F35FDC" w:rsidRPr="008F17A2">
        <w:rPr>
          <w:sz w:val="24"/>
        </w:rPr>
        <w:t>ra el aumento de la producción,</w:t>
      </w:r>
      <w:r w:rsidRPr="008F17A2">
        <w:rPr>
          <w:sz w:val="24"/>
        </w:rPr>
        <w:t xml:space="preserve"> la aceleración de la globalización</w:t>
      </w:r>
      <w:r w:rsidR="00F35FDC" w:rsidRPr="008F17A2">
        <w:rPr>
          <w:sz w:val="24"/>
        </w:rPr>
        <w:t>, y con ello, el incremento de las negociaciones internacionales</w:t>
      </w:r>
      <w:r w:rsidRPr="008F17A2">
        <w:rPr>
          <w:sz w:val="24"/>
        </w:rPr>
        <w:t>.</w:t>
      </w:r>
    </w:p>
    <w:p w:rsidR="005940C8" w:rsidRPr="008F17A2" w:rsidRDefault="005940C8" w:rsidP="008F17A2">
      <w:pPr>
        <w:spacing w:line="360" w:lineRule="auto"/>
        <w:jc w:val="both"/>
        <w:rPr>
          <w:sz w:val="24"/>
        </w:rPr>
      </w:pPr>
      <w:r w:rsidRPr="008F17A2">
        <w:rPr>
          <w:sz w:val="24"/>
        </w:rPr>
        <w:t>En México, con los cambios estructurales generados principalmente en la década de los ochenta, tales como la adopción de un sistema  de</w:t>
      </w:r>
      <w:r w:rsidR="008C0963" w:rsidRPr="008F17A2">
        <w:rPr>
          <w:sz w:val="24"/>
        </w:rPr>
        <w:t xml:space="preserve"> </w:t>
      </w:r>
      <w:r w:rsidRPr="008F17A2">
        <w:rPr>
          <w:sz w:val="24"/>
        </w:rPr>
        <w:t xml:space="preserve">“crecimiento hacia fuera”, que implica la apertura comercial, apertura de la cuenta de capitales y la privatización de empresas públicas, (Faya, 2010), como estrategia para motivar el ingreso de flujos de inversiones extranjeras, fue necesario modificar completamente el marco regulatorio y las condiciones de entrada de inversión, permitiendo la inversión en muchos sectores que antes eran reservados exclusivamente para la inversión mexicana (López, 1997), y de esta manera, poder crear condiciones propicias para que los inversionistas identificaran ventajas de localización en el país.  </w:t>
      </w:r>
    </w:p>
    <w:p w:rsidR="005940C8" w:rsidRPr="008F17A2" w:rsidRDefault="009A686D" w:rsidP="008F17A2">
      <w:pPr>
        <w:spacing w:line="360" w:lineRule="auto"/>
        <w:jc w:val="both"/>
        <w:rPr>
          <w:sz w:val="24"/>
        </w:rPr>
      </w:pPr>
      <w:r w:rsidRPr="008F17A2">
        <w:rPr>
          <w:sz w:val="24"/>
        </w:rPr>
        <w:t>El TLCAN establece un precedente</w:t>
      </w:r>
      <w:r w:rsidR="005940C8" w:rsidRPr="008F17A2">
        <w:rPr>
          <w:sz w:val="24"/>
        </w:rPr>
        <w:t xml:space="preserve"> hacia una mayor inserción de la economía mexicana en los mercados internacionales</w:t>
      </w:r>
      <w:r w:rsidR="00BB523F" w:rsidRPr="008F17A2">
        <w:rPr>
          <w:sz w:val="24"/>
        </w:rPr>
        <w:t>. A</w:t>
      </w:r>
      <w:r w:rsidRPr="008F17A2">
        <w:rPr>
          <w:sz w:val="24"/>
        </w:rPr>
        <w:t>sí</w:t>
      </w:r>
      <w:r w:rsidR="00BB523F" w:rsidRPr="008F17A2">
        <w:rPr>
          <w:sz w:val="24"/>
        </w:rPr>
        <w:t xml:space="preserve">, </w:t>
      </w:r>
      <w:r w:rsidRPr="008F17A2">
        <w:rPr>
          <w:sz w:val="24"/>
        </w:rPr>
        <w:t xml:space="preserve">a </w:t>
      </w:r>
      <w:r w:rsidR="005940C8" w:rsidRPr="008F17A2">
        <w:rPr>
          <w:sz w:val="24"/>
        </w:rPr>
        <w:t xml:space="preserve">partir de </w:t>
      </w:r>
      <w:r w:rsidR="00BB523F" w:rsidRPr="008F17A2">
        <w:rPr>
          <w:sz w:val="24"/>
        </w:rPr>
        <w:t>su</w:t>
      </w:r>
      <w:r w:rsidR="005940C8" w:rsidRPr="008F17A2">
        <w:rPr>
          <w:sz w:val="24"/>
        </w:rPr>
        <w:t xml:space="preserve"> entrada en vigor </w:t>
      </w:r>
      <w:r w:rsidR="00BB523F" w:rsidRPr="008F17A2">
        <w:rPr>
          <w:sz w:val="24"/>
        </w:rPr>
        <w:t>en</w:t>
      </w:r>
      <w:r w:rsidRPr="008F17A2">
        <w:rPr>
          <w:sz w:val="24"/>
        </w:rPr>
        <w:t xml:space="preserve"> 1994,</w:t>
      </w:r>
      <w:r w:rsidR="005940C8" w:rsidRPr="008F17A2">
        <w:rPr>
          <w:sz w:val="24"/>
        </w:rPr>
        <w:t xml:space="preserve"> la atracción de la IED en México, proveniente de sus socios comerciales, se ha convertido en uno de los mecanismos adoptado</w:t>
      </w:r>
      <w:r w:rsidR="00BB523F" w:rsidRPr="008F17A2">
        <w:rPr>
          <w:sz w:val="24"/>
        </w:rPr>
        <w:t>s por</w:t>
      </w:r>
      <w:r w:rsidR="005940C8" w:rsidRPr="008F17A2">
        <w:rPr>
          <w:sz w:val="24"/>
        </w:rPr>
        <w:t xml:space="preserve"> la política nacional para coadyuvar a solventar el déficit en cuenta corriente y reducir la tasa de desempleo nacional. Aunado a lo anterior, se establecen como estrategias la concretización de múltiples acuerdos bilaterales y </w:t>
      </w:r>
      <w:r w:rsidR="005940C8" w:rsidRPr="008F17A2">
        <w:rPr>
          <w:sz w:val="24"/>
        </w:rPr>
        <w:lastRenderedPageBreak/>
        <w:t>multilaterales. Desde el entorno empresarial, la creciente IED refleja la importancia de un segmento de la economía como parte de las estrategias globales de empresas extran</w:t>
      </w:r>
      <w:r w:rsidR="00542BA1" w:rsidRPr="008F17A2">
        <w:rPr>
          <w:sz w:val="24"/>
        </w:rPr>
        <w:t>jeras (Dussel,</w:t>
      </w:r>
      <w:r w:rsidR="00B649BD" w:rsidRPr="008F17A2">
        <w:rPr>
          <w:sz w:val="24"/>
        </w:rPr>
        <w:t xml:space="preserve"> 2007</w:t>
      </w:r>
      <w:r w:rsidR="00DD593C" w:rsidRPr="008F17A2">
        <w:rPr>
          <w:sz w:val="24"/>
        </w:rPr>
        <w:t xml:space="preserve"> &amp;</w:t>
      </w:r>
      <w:r w:rsidR="00B649BD" w:rsidRPr="008F17A2">
        <w:rPr>
          <w:sz w:val="24"/>
        </w:rPr>
        <w:t xml:space="preserve"> Dussel et al.,</w:t>
      </w:r>
      <w:r w:rsidR="005940C8" w:rsidRPr="008F17A2">
        <w:rPr>
          <w:sz w:val="24"/>
        </w:rPr>
        <w:t xml:space="preserve"> 2009). </w:t>
      </w:r>
    </w:p>
    <w:p w:rsidR="005940C8" w:rsidRPr="008F17A2" w:rsidRDefault="005940C8" w:rsidP="008F17A2">
      <w:pPr>
        <w:spacing w:line="360" w:lineRule="auto"/>
        <w:jc w:val="both"/>
        <w:rPr>
          <w:sz w:val="24"/>
        </w:rPr>
      </w:pPr>
      <w:r w:rsidRPr="008F17A2">
        <w:rPr>
          <w:sz w:val="24"/>
        </w:rPr>
        <w:t>A</w:t>
      </w:r>
      <w:r w:rsidR="00F16A46" w:rsidRPr="008F17A2">
        <w:rPr>
          <w:sz w:val="24"/>
        </w:rPr>
        <w:t xml:space="preserve"> pesar de que en</w:t>
      </w:r>
      <w:r w:rsidRPr="008F17A2">
        <w:rPr>
          <w:sz w:val="24"/>
        </w:rPr>
        <w:t xml:space="preserve"> los últimos años </w:t>
      </w:r>
      <w:r w:rsidR="00F16A46" w:rsidRPr="008F17A2">
        <w:rPr>
          <w:sz w:val="24"/>
        </w:rPr>
        <w:t>ha habido</w:t>
      </w:r>
      <w:r w:rsidRPr="008F17A2">
        <w:rPr>
          <w:sz w:val="24"/>
        </w:rPr>
        <w:t xml:space="preserve"> inestabilidad e inseguridad social</w:t>
      </w:r>
      <w:r w:rsidR="00DD593C" w:rsidRPr="008F17A2">
        <w:rPr>
          <w:sz w:val="24"/>
        </w:rPr>
        <w:t xml:space="preserve">, </w:t>
      </w:r>
      <w:r w:rsidRPr="008F17A2">
        <w:rPr>
          <w:sz w:val="24"/>
        </w:rPr>
        <w:t>intensifica</w:t>
      </w:r>
      <w:r w:rsidR="00DD593C" w:rsidRPr="008F17A2">
        <w:rPr>
          <w:sz w:val="24"/>
        </w:rPr>
        <w:t>d</w:t>
      </w:r>
      <w:r w:rsidR="00F16A46" w:rsidRPr="008F17A2">
        <w:rPr>
          <w:sz w:val="24"/>
        </w:rPr>
        <w:t>a</w:t>
      </w:r>
      <w:r w:rsidR="00DD593C" w:rsidRPr="008F17A2">
        <w:rPr>
          <w:sz w:val="24"/>
        </w:rPr>
        <w:t>s</w:t>
      </w:r>
      <w:r w:rsidRPr="008F17A2">
        <w:rPr>
          <w:sz w:val="24"/>
        </w:rPr>
        <w:t xml:space="preserve"> con la llamada “guerra contra el narcotráfico”</w:t>
      </w:r>
      <w:r w:rsidR="00DD593C" w:rsidRPr="008F17A2">
        <w:rPr>
          <w:sz w:val="24"/>
        </w:rPr>
        <w:t xml:space="preserve"> —</w:t>
      </w:r>
      <w:r w:rsidR="00F16A46" w:rsidRPr="008F17A2">
        <w:rPr>
          <w:sz w:val="24"/>
        </w:rPr>
        <w:t xml:space="preserve">que </w:t>
      </w:r>
      <w:r w:rsidRPr="008F17A2">
        <w:rPr>
          <w:sz w:val="24"/>
        </w:rPr>
        <w:t>implement</w:t>
      </w:r>
      <w:r w:rsidR="00F16A46" w:rsidRPr="008F17A2">
        <w:rPr>
          <w:sz w:val="24"/>
        </w:rPr>
        <w:t>ó el gobierno de</w:t>
      </w:r>
      <w:r w:rsidRPr="008F17A2">
        <w:rPr>
          <w:sz w:val="24"/>
        </w:rPr>
        <w:t xml:space="preserve"> Felipe Calderón Hinojosa y </w:t>
      </w:r>
      <w:r w:rsidR="00DD52DA" w:rsidRPr="008F17A2">
        <w:rPr>
          <w:sz w:val="24"/>
        </w:rPr>
        <w:t xml:space="preserve">actualmente </w:t>
      </w:r>
      <w:r w:rsidR="00DD593C" w:rsidRPr="008F17A2">
        <w:rPr>
          <w:sz w:val="24"/>
        </w:rPr>
        <w:t>contin</w:t>
      </w:r>
      <w:r w:rsidR="00F16A46" w:rsidRPr="008F17A2">
        <w:rPr>
          <w:sz w:val="24"/>
        </w:rPr>
        <w:t>úa</w:t>
      </w:r>
      <w:r w:rsidRPr="008F17A2">
        <w:rPr>
          <w:sz w:val="24"/>
        </w:rPr>
        <w:t xml:space="preserve"> el gobierno de Enrique Peña Nieto</w:t>
      </w:r>
      <w:r w:rsidR="00F16A46" w:rsidRPr="008F17A2">
        <w:rPr>
          <w:sz w:val="24"/>
        </w:rPr>
        <w:t>, aunque</w:t>
      </w:r>
      <w:r w:rsidRPr="008F17A2">
        <w:rPr>
          <w:sz w:val="24"/>
        </w:rPr>
        <w:t xml:space="preserve"> </w:t>
      </w:r>
      <w:r w:rsidR="00C521B6" w:rsidRPr="008F17A2">
        <w:rPr>
          <w:sz w:val="24"/>
        </w:rPr>
        <w:t>con</w:t>
      </w:r>
      <w:r w:rsidRPr="008F17A2">
        <w:rPr>
          <w:sz w:val="24"/>
        </w:rPr>
        <w:t xml:space="preserve"> publici</w:t>
      </w:r>
      <w:r w:rsidR="00C521B6" w:rsidRPr="008F17A2">
        <w:rPr>
          <w:sz w:val="24"/>
        </w:rPr>
        <w:t>dad</w:t>
      </w:r>
      <w:r w:rsidRPr="008F17A2">
        <w:rPr>
          <w:sz w:val="24"/>
        </w:rPr>
        <w:t xml:space="preserve"> menos agresiva</w:t>
      </w:r>
      <w:r w:rsidR="00DD593C" w:rsidRPr="008F17A2">
        <w:rPr>
          <w:sz w:val="24"/>
        </w:rPr>
        <w:t>—</w:t>
      </w:r>
      <w:r w:rsidRPr="008F17A2">
        <w:rPr>
          <w:sz w:val="24"/>
        </w:rPr>
        <w:t xml:space="preserve">, para los inversionistas extranjeros </w:t>
      </w:r>
      <w:r w:rsidR="00F16A46" w:rsidRPr="008F17A2">
        <w:rPr>
          <w:sz w:val="24"/>
        </w:rPr>
        <w:t xml:space="preserve">dicha guerra </w:t>
      </w:r>
      <w:r w:rsidRPr="008F17A2">
        <w:rPr>
          <w:sz w:val="24"/>
        </w:rPr>
        <w:t>no ha sido un factor</w:t>
      </w:r>
      <w:r w:rsidR="00F16A46" w:rsidRPr="008F17A2">
        <w:rPr>
          <w:sz w:val="24"/>
        </w:rPr>
        <w:t xml:space="preserve"> </w:t>
      </w:r>
      <w:r w:rsidRPr="008F17A2">
        <w:rPr>
          <w:sz w:val="24"/>
        </w:rPr>
        <w:t xml:space="preserve">relevante, debido en parte a </w:t>
      </w:r>
      <w:r w:rsidR="00F16A46" w:rsidRPr="008F17A2">
        <w:rPr>
          <w:sz w:val="24"/>
        </w:rPr>
        <w:t>la</w:t>
      </w:r>
      <w:r w:rsidRPr="008F17A2">
        <w:rPr>
          <w:sz w:val="24"/>
        </w:rPr>
        <w:t xml:space="preserve"> certeza que el gobierno mexicano </w:t>
      </w:r>
      <w:r w:rsidR="00F16A46" w:rsidRPr="008F17A2">
        <w:rPr>
          <w:sz w:val="24"/>
        </w:rPr>
        <w:t xml:space="preserve">le ha otorgado a sus inversiones </w:t>
      </w:r>
      <w:r w:rsidRPr="008F17A2">
        <w:rPr>
          <w:sz w:val="24"/>
        </w:rPr>
        <w:t>mediante la implementación de diversas políticas públicas de protección a la IED</w:t>
      </w:r>
      <w:r w:rsidR="00542BA1" w:rsidRPr="008F17A2">
        <w:rPr>
          <w:sz w:val="24"/>
        </w:rPr>
        <w:t xml:space="preserve"> (Samford </w:t>
      </w:r>
      <w:r w:rsidR="00F16A46" w:rsidRPr="008F17A2">
        <w:rPr>
          <w:sz w:val="24"/>
        </w:rPr>
        <w:t>&amp;</w:t>
      </w:r>
      <w:r w:rsidRPr="008F17A2">
        <w:rPr>
          <w:sz w:val="24"/>
        </w:rPr>
        <w:t xml:space="preserve"> Ortega</w:t>
      </w:r>
      <w:r w:rsidR="00F16A46" w:rsidRPr="008F17A2">
        <w:rPr>
          <w:sz w:val="24"/>
        </w:rPr>
        <w:t>,</w:t>
      </w:r>
      <w:r w:rsidRPr="008F17A2">
        <w:rPr>
          <w:sz w:val="24"/>
        </w:rPr>
        <w:t xml:space="preserve"> 2014).   </w:t>
      </w:r>
    </w:p>
    <w:p w:rsidR="005940C8" w:rsidRPr="008F17A2" w:rsidRDefault="00DD52DA" w:rsidP="008F17A2">
      <w:pPr>
        <w:spacing w:line="360" w:lineRule="auto"/>
        <w:jc w:val="both"/>
        <w:rPr>
          <w:sz w:val="24"/>
        </w:rPr>
      </w:pPr>
      <w:r w:rsidRPr="008F17A2">
        <w:rPr>
          <w:sz w:val="24"/>
        </w:rPr>
        <w:t>En la actualidad</w:t>
      </w:r>
      <w:r w:rsidR="005940C8" w:rsidRPr="008F17A2">
        <w:rPr>
          <w:sz w:val="24"/>
        </w:rPr>
        <w:t xml:space="preserve"> México </w:t>
      </w:r>
      <w:r w:rsidRPr="008F17A2">
        <w:rPr>
          <w:sz w:val="24"/>
        </w:rPr>
        <w:t>se considera</w:t>
      </w:r>
      <w:r w:rsidR="005940C8" w:rsidRPr="008F17A2">
        <w:rPr>
          <w:sz w:val="24"/>
        </w:rPr>
        <w:t xml:space="preserve"> como el segundo país más atractivo en América Latina para la localización de IED. </w:t>
      </w:r>
      <w:r w:rsidR="00E07D3F" w:rsidRPr="008F17A2">
        <w:rPr>
          <w:sz w:val="24"/>
        </w:rPr>
        <w:t>L</w:t>
      </w:r>
      <w:r w:rsidR="005940C8" w:rsidRPr="008F17A2">
        <w:rPr>
          <w:sz w:val="24"/>
        </w:rPr>
        <w:t xml:space="preserve">as empresas extranjeras primordialmente </w:t>
      </w:r>
      <w:r w:rsidR="00E07D3F" w:rsidRPr="008F17A2">
        <w:rPr>
          <w:sz w:val="24"/>
        </w:rPr>
        <w:t xml:space="preserve">se localizan </w:t>
      </w:r>
      <w:r w:rsidR="005940C8" w:rsidRPr="008F17A2">
        <w:rPr>
          <w:sz w:val="24"/>
        </w:rPr>
        <w:t>en el sector manufacturero, el cual capta poco más del 38</w:t>
      </w:r>
      <w:r w:rsidRPr="008F17A2">
        <w:rPr>
          <w:sz w:val="24"/>
        </w:rPr>
        <w:t xml:space="preserve"> </w:t>
      </w:r>
      <w:r w:rsidR="005940C8" w:rsidRPr="008F17A2">
        <w:rPr>
          <w:sz w:val="24"/>
        </w:rPr>
        <w:t xml:space="preserve">% de manera específica </w:t>
      </w:r>
      <w:r w:rsidR="00E07D3F" w:rsidRPr="008F17A2">
        <w:rPr>
          <w:sz w:val="24"/>
        </w:rPr>
        <w:t>d</w:t>
      </w:r>
      <w:r w:rsidR="005940C8" w:rsidRPr="008F17A2">
        <w:rPr>
          <w:sz w:val="24"/>
        </w:rPr>
        <w:t>el sector automotriz, siendo el Distrito Federal el principal concentrador, seguido del Estado de México y algunos estados del norte como Baja California. Nuevo León. Chihuahua y Tamaulipas (Secretaría de Economía, 2013).</w:t>
      </w:r>
    </w:p>
    <w:p w:rsidR="005940C8" w:rsidRPr="008F17A2" w:rsidRDefault="005940C8" w:rsidP="008F17A2">
      <w:pPr>
        <w:spacing w:line="360" w:lineRule="auto"/>
        <w:jc w:val="both"/>
        <w:rPr>
          <w:sz w:val="24"/>
        </w:rPr>
      </w:pPr>
      <w:r w:rsidRPr="008F17A2">
        <w:rPr>
          <w:sz w:val="24"/>
        </w:rPr>
        <w:t>La IED también ha respondido a los acontecimientos internacionales y más notablemente al dinamismo de la economía de Estados Unidos, lo cual radica principalmente en que</w:t>
      </w:r>
      <w:r w:rsidR="00E07D3F" w:rsidRPr="008F17A2">
        <w:rPr>
          <w:sz w:val="24"/>
        </w:rPr>
        <w:t xml:space="preserve"> dicho</w:t>
      </w:r>
      <w:r w:rsidRPr="008F17A2">
        <w:rPr>
          <w:sz w:val="24"/>
        </w:rPr>
        <w:t xml:space="preserve"> país </w:t>
      </w:r>
      <w:r w:rsidR="00E07D3F" w:rsidRPr="008F17A2">
        <w:rPr>
          <w:sz w:val="24"/>
        </w:rPr>
        <w:t xml:space="preserve">es </w:t>
      </w:r>
      <w:r w:rsidRPr="008F17A2">
        <w:rPr>
          <w:sz w:val="24"/>
        </w:rPr>
        <w:t>nuestro principal inversor</w:t>
      </w:r>
      <w:r w:rsidR="00E07D3F" w:rsidRPr="008F17A2">
        <w:rPr>
          <w:sz w:val="24"/>
        </w:rPr>
        <w:t>:</w:t>
      </w:r>
      <w:r w:rsidRPr="008F17A2">
        <w:rPr>
          <w:sz w:val="24"/>
        </w:rPr>
        <w:t xml:space="preserve"> alrededor del 50</w:t>
      </w:r>
      <w:r w:rsidR="00E07D3F" w:rsidRPr="008F17A2">
        <w:rPr>
          <w:sz w:val="24"/>
        </w:rPr>
        <w:t xml:space="preserve"> </w:t>
      </w:r>
      <w:r w:rsidRPr="008F17A2">
        <w:rPr>
          <w:sz w:val="24"/>
        </w:rPr>
        <w:t xml:space="preserve">% de la IED que ingresa a México proviene de </w:t>
      </w:r>
      <w:r w:rsidR="00E07D3F" w:rsidRPr="008F17A2">
        <w:rPr>
          <w:sz w:val="24"/>
        </w:rPr>
        <w:t>ahí</w:t>
      </w:r>
      <w:r w:rsidRPr="008F17A2">
        <w:rPr>
          <w:sz w:val="24"/>
        </w:rPr>
        <w:t xml:space="preserve">, mientras que el porcentaje </w:t>
      </w:r>
      <w:r w:rsidR="00E07D3F" w:rsidRPr="008F17A2">
        <w:rPr>
          <w:sz w:val="24"/>
        </w:rPr>
        <w:t xml:space="preserve">restante </w:t>
      </w:r>
      <w:r w:rsidRPr="008F17A2">
        <w:rPr>
          <w:sz w:val="24"/>
        </w:rPr>
        <w:t>ingresa de los Países Bajos (13</w:t>
      </w:r>
      <w:r w:rsidR="00E07D3F" w:rsidRPr="008F17A2">
        <w:rPr>
          <w:sz w:val="24"/>
        </w:rPr>
        <w:t xml:space="preserve"> </w:t>
      </w:r>
      <w:r w:rsidRPr="008F17A2">
        <w:rPr>
          <w:sz w:val="24"/>
        </w:rPr>
        <w:t>%)</w:t>
      </w:r>
      <w:r w:rsidR="00E07D3F" w:rsidRPr="008F17A2">
        <w:rPr>
          <w:sz w:val="24"/>
        </w:rPr>
        <w:t>,</w:t>
      </w:r>
      <w:r w:rsidRPr="008F17A2">
        <w:rPr>
          <w:sz w:val="24"/>
        </w:rPr>
        <w:t xml:space="preserve"> España (13</w:t>
      </w:r>
      <w:r w:rsidR="00E07D3F" w:rsidRPr="008F17A2">
        <w:rPr>
          <w:sz w:val="24"/>
        </w:rPr>
        <w:t xml:space="preserve"> </w:t>
      </w:r>
      <w:r w:rsidRPr="008F17A2">
        <w:rPr>
          <w:sz w:val="24"/>
        </w:rPr>
        <w:t>%)</w:t>
      </w:r>
      <w:r w:rsidR="00E07D3F" w:rsidRPr="008F17A2">
        <w:rPr>
          <w:sz w:val="24"/>
        </w:rPr>
        <w:t>,</w:t>
      </w:r>
      <w:r w:rsidRPr="008F17A2">
        <w:rPr>
          <w:sz w:val="24"/>
        </w:rPr>
        <w:t xml:space="preserve"> Canadá (5</w:t>
      </w:r>
      <w:r w:rsidR="00E07D3F" w:rsidRPr="008F17A2">
        <w:rPr>
          <w:sz w:val="24"/>
        </w:rPr>
        <w:t xml:space="preserve"> </w:t>
      </w:r>
      <w:r w:rsidRPr="008F17A2">
        <w:rPr>
          <w:sz w:val="24"/>
        </w:rPr>
        <w:t>%)</w:t>
      </w:r>
      <w:r w:rsidR="00E07D3F" w:rsidRPr="008F17A2">
        <w:rPr>
          <w:sz w:val="24"/>
        </w:rPr>
        <w:t>,</w:t>
      </w:r>
      <w:r w:rsidRPr="008F17A2">
        <w:rPr>
          <w:sz w:val="24"/>
        </w:rPr>
        <w:t xml:space="preserve"> Bélgica (4</w:t>
      </w:r>
      <w:r w:rsidR="00E07D3F" w:rsidRPr="008F17A2">
        <w:rPr>
          <w:sz w:val="24"/>
        </w:rPr>
        <w:t xml:space="preserve"> </w:t>
      </w:r>
      <w:r w:rsidRPr="008F17A2">
        <w:rPr>
          <w:sz w:val="24"/>
        </w:rPr>
        <w:t>%)</w:t>
      </w:r>
      <w:r w:rsidR="00E07D3F" w:rsidRPr="008F17A2">
        <w:rPr>
          <w:sz w:val="24"/>
        </w:rPr>
        <w:t>,</w:t>
      </w:r>
      <w:r w:rsidRPr="008F17A2">
        <w:rPr>
          <w:sz w:val="24"/>
        </w:rPr>
        <w:t xml:space="preserve"> Gran Bretaña e Irlanda del Norte (3</w:t>
      </w:r>
      <w:r w:rsidR="00E07D3F" w:rsidRPr="008F17A2">
        <w:rPr>
          <w:sz w:val="24"/>
        </w:rPr>
        <w:t xml:space="preserve"> </w:t>
      </w:r>
      <w:r w:rsidRPr="008F17A2">
        <w:rPr>
          <w:sz w:val="24"/>
        </w:rPr>
        <w:t>%)</w:t>
      </w:r>
      <w:r w:rsidR="00E07D3F" w:rsidRPr="008F17A2">
        <w:rPr>
          <w:sz w:val="24"/>
        </w:rPr>
        <w:t>,</w:t>
      </w:r>
      <w:r w:rsidRPr="008F17A2">
        <w:rPr>
          <w:sz w:val="24"/>
        </w:rPr>
        <w:t xml:space="preserve"> Suiza</w:t>
      </w:r>
      <w:r w:rsidR="00E07D3F" w:rsidRPr="008F17A2">
        <w:rPr>
          <w:sz w:val="24"/>
        </w:rPr>
        <w:t>,</w:t>
      </w:r>
      <w:r w:rsidRPr="008F17A2">
        <w:rPr>
          <w:sz w:val="24"/>
        </w:rPr>
        <w:t xml:space="preserve"> Alemania y Japón (2</w:t>
      </w:r>
      <w:r w:rsidR="00E07D3F" w:rsidRPr="008F17A2">
        <w:rPr>
          <w:sz w:val="24"/>
        </w:rPr>
        <w:t xml:space="preserve"> </w:t>
      </w:r>
      <w:r w:rsidRPr="008F17A2">
        <w:rPr>
          <w:sz w:val="24"/>
        </w:rPr>
        <w:t>% respectivamente)</w:t>
      </w:r>
      <w:r w:rsidR="00E07D3F" w:rsidRPr="008F17A2">
        <w:rPr>
          <w:sz w:val="24"/>
        </w:rPr>
        <w:t>,</w:t>
      </w:r>
      <w:r w:rsidRPr="008F17A2">
        <w:rPr>
          <w:sz w:val="24"/>
        </w:rPr>
        <w:t xml:space="preserve"> y otros (8</w:t>
      </w:r>
      <w:r w:rsidR="00E07D3F" w:rsidRPr="008F17A2">
        <w:rPr>
          <w:sz w:val="24"/>
        </w:rPr>
        <w:t xml:space="preserve"> </w:t>
      </w:r>
      <w:r w:rsidRPr="008F17A2">
        <w:rPr>
          <w:sz w:val="24"/>
        </w:rPr>
        <w:t>%).</w:t>
      </w:r>
    </w:p>
    <w:p w:rsidR="007839B5" w:rsidRPr="008F17A2" w:rsidRDefault="007839B5" w:rsidP="008F17A2">
      <w:pPr>
        <w:spacing w:line="360" w:lineRule="auto"/>
        <w:jc w:val="both"/>
        <w:rPr>
          <w:sz w:val="24"/>
        </w:rPr>
      </w:pPr>
      <w:r w:rsidRPr="008F17A2">
        <w:rPr>
          <w:sz w:val="24"/>
        </w:rPr>
        <w:t xml:space="preserve">El objetivo del presente trabajo es identificar </w:t>
      </w:r>
      <w:r w:rsidR="00EB1E7B" w:rsidRPr="008F17A2">
        <w:rPr>
          <w:sz w:val="24"/>
        </w:rPr>
        <w:t>la relación que guardan las modificaciones políticas, económicas, administrativas, entre otr</w:t>
      </w:r>
      <w:r w:rsidR="00B23756" w:rsidRPr="008F17A2">
        <w:rPr>
          <w:sz w:val="24"/>
        </w:rPr>
        <w:t>a</w:t>
      </w:r>
      <w:r w:rsidR="00EB1E7B" w:rsidRPr="008F17A2">
        <w:rPr>
          <w:sz w:val="24"/>
        </w:rPr>
        <w:t xml:space="preserve">s, sobre </w:t>
      </w:r>
      <w:r w:rsidRPr="008F17A2">
        <w:rPr>
          <w:sz w:val="24"/>
        </w:rPr>
        <w:t>la inversión extranjera dir</w:t>
      </w:r>
      <w:r w:rsidR="00EB1E7B" w:rsidRPr="008F17A2">
        <w:rPr>
          <w:sz w:val="24"/>
        </w:rPr>
        <w:t xml:space="preserve">ecta en México durante </w:t>
      </w:r>
      <w:r w:rsidR="00B23756" w:rsidRPr="008F17A2">
        <w:rPr>
          <w:sz w:val="24"/>
        </w:rPr>
        <w:t xml:space="preserve">el periodo </w:t>
      </w:r>
      <w:r w:rsidR="00EB1E7B" w:rsidRPr="008F17A2">
        <w:rPr>
          <w:sz w:val="24"/>
        </w:rPr>
        <w:t>1999-2013</w:t>
      </w:r>
      <w:r w:rsidRPr="008F17A2">
        <w:rPr>
          <w:sz w:val="24"/>
        </w:rPr>
        <w:t>.</w:t>
      </w:r>
    </w:p>
    <w:p w:rsidR="00510F25" w:rsidRPr="008F17A2" w:rsidRDefault="00510F25" w:rsidP="008F17A2">
      <w:pPr>
        <w:spacing w:line="360" w:lineRule="auto"/>
        <w:jc w:val="both"/>
        <w:rPr>
          <w:sz w:val="24"/>
        </w:rPr>
      </w:pPr>
      <w:r w:rsidRPr="008F17A2">
        <w:rPr>
          <w:sz w:val="24"/>
        </w:rPr>
        <w:t>Una de las técnicas más utilizadas para el estudio de los determinantes de la IED a nivel internacional ha sido el análisis de regresión lineal, enfocado primordial</w:t>
      </w:r>
      <w:r w:rsidR="008B2573" w:rsidRPr="008F17A2">
        <w:rPr>
          <w:sz w:val="24"/>
        </w:rPr>
        <w:t xml:space="preserve">mente </w:t>
      </w:r>
      <w:r w:rsidR="00B23756" w:rsidRPr="008F17A2">
        <w:rPr>
          <w:sz w:val="24"/>
        </w:rPr>
        <w:t>en e</w:t>
      </w:r>
      <w:r w:rsidR="008B2573" w:rsidRPr="008F17A2">
        <w:rPr>
          <w:sz w:val="24"/>
        </w:rPr>
        <w:t>l uso de panel de datos</w:t>
      </w:r>
      <w:r w:rsidR="007839B5" w:rsidRPr="008F17A2">
        <w:rPr>
          <w:sz w:val="24"/>
        </w:rPr>
        <w:t xml:space="preserve">, por lo que para el presente estudio se utiliza el análisis de regresión lineal con datos </w:t>
      </w:r>
      <w:r w:rsidR="00AC7274" w:rsidRPr="008F17A2">
        <w:rPr>
          <w:sz w:val="24"/>
        </w:rPr>
        <w:t xml:space="preserve">de </w:t>
      </w:r>
      <w:r w:rsidR="007839B5" w:rsidRPr="008F17A2">
        <w:rPr>
          <w:sz w:val="24"/>
        </w:rPr>
        <w:t xml:space="preserve">panel. </w:t>
      </w:r>
    </w:p>
    <w:p w:rsidR="0002496E" w:rsidRPr="008F17A2" w:rsidRDefault="00307CB8" w:rsidP="008F17A2">
      <w:pPr>
        <w:spacing w:line="360" w:lineRule="auto"/>
        <w:jc w:val="both"/>
        <w:rPr>
          <w:sz w:val="24"/>
        </w:rPr>
      </w:pPr>
      <w:r w:rsidRPr="008F17A2">
        <w:rPr>
          <w:sz w:val="24"/>
        </w:rPr>
        <w:t>En este trabajo se encuentr</w:t>
      </w:r>
      <w:r w:rsidR="00EB1E7B" w:rsidRPr="008F17A2">
        <w:rPr>
          <w:sz w:val="24"/>
        </w:rPr>
        <w:t>a evidencia de que</w:t>
      </w:r>
      <w:r w:rsidR="00053F44" w:rsidRPr="008F17A2">
        <w:rPr>
          <w:sz w:val="24"/>
        </w:rPr>
        <w:t xml:space="preserve"> durante</w:t>
      </w:r>
      <w:r w:rsidR="00EB1E7B" w:rsidRPr="008F17A2">
        <w:rPr>
          <w:sz w:val="24"/>
        </w:rPr>
        <w:t xml:space="preserve"> 1999-2013</w:t>
      </w:r>
      <w:r w:rsidRPr="008F17A2">
        <w:rPr>
          <w:sz w:val="24"/>
        </w:rPr>
        <w:t xml:space="preserve"> la IED que ingresa a México busca localizarse generalmente en las regiones donde existe mayor demanda </w:t>
      </w:r>
      <w:r w:rsidRPr="008F17A2">
        <w:rPr>
          <w:sz w:val="24"/>
        </w:rPr>
        <w:lastRenderedPageBreak/>
        <w:t>económica, así como en regiones</w:t>
      </w:r>
      <w:r w:rsidR="007839B5" w:rsidRPr="008F17A2">
        <w:rPr>
          <w:sz w:val="24"/>
        </w:rPr>
        <w:t xml:space="preserve"> con mayor desarrollo de infraestructura y</w:t>
      </w:r>
      <w:r w:rsidRPr="008F17A2">
        <w:rPr>
          <w:sz w:val="24"/>
        </w:rPr>
        <w:t xml:space="preserve"> localizadas geográficamente de man</w:t>
      </w:r>
      <w:r w:rsidR="00EB1E7B" w:rsidRPr="008F17A2">
        <w:rPr>
          <w:sz w:val="24"/>
        </w:rPr>
        <w:t>era estratégica, lo que contribuye</w:t>
      </w:r>
      <w:r w:rsidRPr="008F17A2">
        <w:rPr>
          <w:sz w:val="24"/>
        </w:rPr>
        <w:t xml:space="preserve"> a reducir costos, aunque los estados con salarios más bajos también son atractivos.</w:t>
      </w:r>
      <w:r w:rsidR="00EB1E7B" w:rsidRPr="008F17A2">
        <w:rPr>
          <w:sz w:val="24"/>
        </w:rPr>
        <w:t xml:space="preserve"> </w:t>
      </w:r>
    </w:p>
    <w:p w:rsidR="0002496E" w:rsidRPr="008F17A2" w:rsidRDefault="00EB1E7B" w:rsidP="008F17A2">
      <w:pPr>
        <w:spacing w:line="360" w:lineRule="auto"/>
        <w:jc w:val="both"/>
        <w:rPr>
          <w:sz w:val="24"/>
        </w:rPr>
      </w:pPr>
      <w:r w:rsidRPr="008F17A2">
        <w:rPr>
          <w:sz w:val="24"/>
        </w:rPr>
        <w:t>Las reformas estructurales recientemente aprobadas en México parece</w:t>
      </w:r>
      <w:r w:rsidR="00B23756" w:rsidRPr="008F17A2">
        <w:rPr>
          <w:sz w:val="24"/>
        </w:rPr>
        <w:t>n</w:t>
      </w:r>
      <w:r w:rsidRPr="008F17A2">
        <w:rPr>
          <w:sz w:val="24"/>
        </w:rPr>
        <w:t xml:space="preserve"> indicar que aún no rinden los frutos esperados</w:t>
      </w:r>
      <w:r w:rsidR="00B23756" w:rsidRPr="008F17A2">
        <w:rPr>
          <w:sz w:val="24"/>
        </w:rPr>
        <w:t xml:space="preserve">, </w:t>
      </w:r>
      <w:r w:rsidR="00401F14" w:rsidRPr="008F17A2">
        <w:rPr>
          <w:sz w:val="24"/>
        </w:rPr>
        <w:t xml:space="preserve">por lo que todavía </w:t>
      </w:r>
      <w:r w:rsidRPr="008F17A2">
        <w:rPr>
          <w:sz w:val="24"/>
        </w:rPr>
        <w:t>su incidencia sobre la IED que ingresa al país</w:t>
      </w:r>
      <w:r w:rsidR="00401F14" w:rsidRPr="008F17A2">
        <w:rPr>
          <w:sz w:val="24"/>
        </w:rPr>
        <w:t xml:space="preserve"> no es significativa</w:t>
      </w:r>
      <w:r w:rsidRPr="008F17A2">
        <w:rPr>
          <w:sz w:val="24"/>
        </w:rPr>
        <w:t xml:space="preserve">. No obstante, </w:t>
      </w:r>
      <w:r w:rsidR="006B5794" w:rsidRPr="008F17A2">
        <w:rPr>
          <w:sz w:val="24"/>
        </w:rPr>
        <w:t xml:space="preserve">podría ser </w:t>
      </w:r>
      <w:r w:rsidRPr="008F17A2">
        <w:rPr>
          <w:sz w:val="24"/>
        </w:rPr>
        <w:t xml:space="preserve">que en los años subsecuentes se encuentren resultados con mayor nivel de significancia. </w:t>
      </w:r>
    </w:p>
    <w:p w:rsidR="0002496E" w:rsidRPr="008F17A2" w:rsidRDefault="0002496E" w:rsidP="008F17A2">
      <w:pPr>
        <w:spacing w:line="360" w:lineRule="auto"/>
        <w:jc w:val="both"/>
        <w:rPr>
          <w:sz w:val="24"/>
        </w:rPr>
      </w:pPr>
      <w:r w:rsidRPr="008F17A2">
        <w:rPr>
          <w:sz w:val="24"/>
        </w:rPr>
        <w:t xml:space="preserve">La relación que guardan las modificaciones políticas (tales como el cambio de poder en el gobierno federal y estatal), y la IED, parece indicar que no significan un factor decisivo, </w:t>
      </w:r>
      <w:r w:rsidR="00A149AA" w:rsidRPr="008F17A2">
        <w:rPr>
          <w:sz w:val="24"/>
        </w:rPr>
        <w:t>lo cual</w:t>
      </w:r>
      <w:r w:rsidRPr="008F17A2">
        <w:rPr>
          <w:sz w:val="24"/>
        </w:rPr>
        <w:t xml:space="preserve"> se puede deber a que la alternancia no ha planteado modificaciones muy profundas en la política económica del país como para incidir de manera contundente sobre las expectativas de los inversionistas internacionales.</w:t>
      </w:r>
    </w:p>
    <w:p w:rsidR="004D6B2C" w:rsidRPr="008F17A2" w:rsidRDefault="004D6B2C" w:rsidP="008F17A2">
      <w:pPr>
        <w:spacing w:line="360" w:lineRule="auto"/>
        <w:jc w:val="both"/>
        <w:rPr>
          <w:sz w:val="24"/>
        </w:rPr>
      </w:pPr>
      <w:r w:rsidRPr="008F17A2">
        <w:rPr>
          <w:sz w:val="24"/>
        </w:rPr>
        <w:t>Un aspecto novedoso que propone y aporta el presente artículo es la incorporación simultánea de variables de corte económico, político, social, administrativo</w:t>
      </w:r>
      <w:r w:rsidR="009F34B5" w:rsidRPr="008F17A2">
        <w:rPr>
          <w:sz w:val="24"/>
        </w:rPr>
        <w:t>, geográfico</w:t>
      </w:r>
      <w:r w:rsidRPr="008F17A2">
        <w:rPr>
          <w:sz w:val="24"/>
        </w:rPr>
        <w:t xml:space="preserve"> e infraestructura</w:t>
      </w:r>
      <w:r w:rsidR="009F34B5" w:rsidRPr="008F17A2">
        <w:rPr>
          <w:sz w:val="24"/>
        </w:rPr>
        <w:t>l que pueden mostrar incidencia sobre la IED en México. As</w:t>
      </w:r>
      <w:r w:rsidR="00C467AA" w:rsidRPr="008F17A2">
        <w:rPr>
          <w:sz w:val="24"/>
        </w:rPr>
        <w:t>i</w:t>
      </w:r>
      <w:r w:rsidR="009F34B5" w:rsidRPr="008F17A2">
        <w:rPr>
          <w:sz w:val="24"/>
        </w:rPr>
        <w:t>mismo, se presentan los resultados de seis modelos econométricos que incluyen las diversas variables mencionadas</w:t>
      </w:r>
      <w:r w:rsidR="009E239D" w:rsidRPr="008F17A2">
        <w:rPr>
          <w:sz w:val="24"/>
        </w:rPr>
        <w:t>, con el objetivo de visualizar la relación que guarda la IED con estas en diferentes escenarios.</w:t>
      </w:r>
      <w:r w:rsidR="009F34B5" w:rsidRPr="008F17A2">
        <w:rPr>
          <w:sz w:val="24"/>
        </w:rPr>
        <w:t xml:space="preserve"> </w:t>
      </w:r>
    </w:p>
    <w:p w:rsidR="00037E12" w:rsidRPr="00A34C42" w:rsidRDefault="00752507" w:rsidP="008F17A2">
      <w:pPr>
        <w:spacing w:line="360" w:lineRule="auto"/>
        <w:jc w:val="both"/>
        <w:rPr>
          <w:rFonts w:ascii="Arial" w:hAnsi="Arial" w:cs="Arial"/>
          <w:sz w:val="24"/>
        </w:rPr>
      </w:pPr>
      <w:r w:rsidRPr="008F17A2">
        <w:rPr>
          <w:sz w:val="24"/>
        </w:rPr>
        <w:t>La investigación</w:t>
      </w:r>
      <w:r w:rsidR="00307CB8" w:rsidRPr="008F17A2">
        <w:rPr>
          <w:sz w:val="24"/>
        </w:rPr>
        <w:t xml:space="preserve"> se estructura de la siguiente manera: </w:t>
      </w:r>
      <w:r w:rsidR="00C467AA" w:rsidRPr="008F17A2">
        <w:rPr>
          <w:sz w:val="24"/>
        </w:rPr>
        <w:t>b</w:t>
      </w:r>
      <w:r w:rsidR="00307CB8" w:rsidRPr="008F17A2">
        <w:rPr>
          <w:sz w:val="24"/>
        </w:rPr>
        <w:t>reve revisión de la literatura</w:t>
      </w:r>
      <w:r w:rsidR="007839B5" w:rsidRPr="008F17A2">
        <w:rPr>
          <w:sz w:val="24"/>
        </w:rPr>
        <w:t xml:space="preserve"> sobre los factores determinantes de la IED; </w:t>
      </w:r>
      <w:r w:rsidR="00C467AA" w:rsidRPr="008F17A2">
        <w:rPr>
          <w:sz w:val="24"/>
        </w:rPr>
        <w:t>m</w:t>
      </w:r>
      <w:r w:rsidR="00307CB8" w:rsidRPr="008F17A2">
        <w:rPr>
          <w:sz w:val="24"/>
        </w:rPr>
        <w:t xml:space="preserve">etodología y datos, </w:t>
      </w:r>
      <w:r w:rsidR="00C467AA" w:rsidRPr="008F17A2">
        <w:rPr>
          <w:sz w:val="24"/>
        </w:rPr>
        <w:t xml:space="preserve">donde se </w:t>
      </w:r>
      <w:r w:rsidR="00307CB8" w:rsidRPr="008F17A2">
        <w:rPr>
          <w:sz w:val="24"/>
        </w:rPr>
        <w:t xml:space="preserve">presenta la metodología econométrica que se empleará para el análisis empírico </w:t>
      </w:r>
      <w:r w:rsidR="007839B5" w:rsidRPr="008F17A2">
        <w:rPr>
          <w:sz w:val="24"/>
        </w:rPr>
        <w:t xml:space="preserve">y </w:t>
      </w:r>
      <w:r w:rsidR="00C467AA" w:rsidRPr="008F17A2">
        <w:rPr>
          <w:sz w:val="24"/>
        </w:rPr>
        <w:t xml:space="preserve">se </w:t>
      </w:r>
      <w:r w:rsidR="007839B5" w:rsidRPr="008F17A2">
        <w:rPr>
          <w:sz w:val="24"/>
        </w:rPr>
        <w:t>describe</w:t>
      </w:r>
      <w:r w:rsidR="00C467AA" w:rsidRPr="008F17A2">
        <w:rPr>
          <w:sz w:val="24"/>
        </w:rPr>
        <w:t>n</w:t>
      </w:r>
      <w:r w:rsidR="007839B5" w:rsidRPr="008F17A2">
        <w:rPr>
          <w:sz w:val="24"/>
        </w:rPr>
        <w:t xml:space="preserve"> los datos a utilizar; </w:t>
      </w:r>
      <w:r w:rsidR="00C467AA" w:rsidRPr="008F17A2">
        <w:rPr>
          <w:sz w:val="24"/>
        </w:rPr>
        <w:t>r</w:t>
      </w:r>
      <w:r w:rsidR="00307CB8" w:rsidRPr="008F17A2">
        <w:rPr>
          <w:sz w:val="24"/>
        </w:rPr>
        <w:t>esultados y discusión</w:t>
      </w:r>
      <w:r w:rsidR="007839B5" w:rsidRPr="008F17A2">
        <w:rPr>
          <w:sz w:val="24"/>
        </w:rPr>
        <w:t>; y por último</w:t>
      </w:r>
      <w:r w:rsidR="00C467AA" w:rsidRPr="008F17A2">
        <w:rPr>
          <w:sz w:val="24"/>
        </w:rPr>
        <w:t>,</w:t>
      </w:r>
      <w:r w:rsidR="007839B5" w:rsidRPr="008F17A2">
        <w:rPr>
          <w:sz w:val="24"/>
        </w:rPr>
        <w:t xml:space="preserve"> </w:t>
      </w:r>
      <w:r w:rsidR="00C467AA" w:rsidRPr="008F17A2">
        <w:rPr>
          <w:sz w:val="24"/>
        </w:rPr>
        <w:t xml:space="preserve">las </w:t>
      </w:r>
      <w:r w:rsidR="00307CB8" w:rsidRPr="008F17A2">
        <w:rPr>
          <w:sz w:val="24"/>
        </w:rPr>
        <w:t>conclusiones.</w:t>
      </w:r>
      <w:r w:rsidR="00307CB8" w:rsidRPr="00DE7E31">
        <w:rPr>
          <w:rFonts w:ascii="Arial" w:hAnsi="Arial" w:cs="Arial"/>
          <w:sz w:val="24"/>
        </w:rPr>
        <w:t xml:space="preserve">    </w:t>
      </w:r>
    </w:p>
    <w:p w:rsidR="00307CB8" w:rsidRPr="00DE7E31" w:rsidRDefault="00037E12" w:rsidP="006C2E9D">
      <w:pPr>
        <w:spacing w:line="480" w:lineRule="auto"/>
        <w:jc w:val="both"/>
        <w:rPr>
          <w:rFonts w:ascii="Arial" w:hAnsi="Arial" w:cs="Arial"/>
          <w:b/>
          <w:sz w:val="24"/>
          <w:lang w:val="es-ES_tradnl"/>
        </w:rPr>
      </w:pPr>
      <w:r w:rsidRPr="00DE7E31">
        <w:rPr>
          <w:rFonts w:ascii="Arial" w:hAnsi="Arial" w:cs="Arial"/>
          <w:b/>
          <w:sz w:val="24"/>
        </w:rPr>
        <w:t>F</w:t>
      </w:r>
      <w:r w:rsidRPr="00DE7E31">
        <w:rPr>
          <w:rFonts w:ascii="Arial" w:hAnsi="Arial" w:cs="Arial"/>
          <w:b/>
          <w:sz w:val="24"/>
          <w:lang w:val="es-ES_tradnl"/>
        </w:rPr>
        <w:t>ACTORES DE INFLUENCIA DE LA IED</w:t>
      </w:r>
    </w:p>
    <w:p w:rsidR="00307CB8" w:rsidRPr="008F17A2" w:rsidRDefault="00307CB8" w:rsidP="008F17A2">
      <w:pPr>
        <w:spacing w:line="360" w:lineRule="auto"/>
        <w:jc w:val="both"/>
        <w:rPr>
          <w:sz w:val="24"/>
        </w:rPr>
      </w:pPr>
      <w:r w:rsidRPr="008F17A2">
        <w:rPr>
          <w:sz w:val="24"/>
        </w:rPr>
        <w:t xml:space="preserve">Debido a la importancia que ha generado la IED principalmente sobre las economías con una mayor apertura económica y comercial, diversos estudios se han efectuado para identificar los factores de localización de la IED en una gran cantidad de economías receptoras. Desde </w:t>
      </w:r>
      <w:r w:rsidR="00C467AA" w:rsidRPr="008F17A2">
        <w:rPr>
          <w:sz w:val="24"/>
        </w:rPr>
        <w:t xml:space="preserve">que se llevaron a cabo </w:t>
      </w:r>
      <w:r w:rsidRPr="008F17A2">
        <w:rPr>
          <w:sz w:val="24"/>
        </w:rPr>
        <w:t>los primeros estudios empíricos</w:t>
      </w:r>
      <w:r w:rsidR="00C467AA" w:rsidRPr="008F17A2">
        <w:rPr>
          <w:sz w:val="24"/>
        </w:rPr>
        <w:t xml:space="preserve"> </w:t>
      </w:r>
      <w:r w:rsidRPr="008F17A2">
        <w:rPr>
          <w:sz w:val="24"/>
        </w:rPr>
        <w:t>sobre l</w:t>
      </w:r>
      <w:r w:rsidR="00C467AA" w:rsidRPr="008F17A2">
        <w:rPr>
          <w:sz w:val="24"/>
        </w:rPr>
        <w:t>os motivos de las decisiones en</w:t>
      </w:r>
      <w:r w:rsidRPr="008F17A2">
        <w:rPr>
          <w:sz w:val="24"/>
        </w:rPr>
        <w:t xml:space="preserve"> inversiones iniciales, se </w:t>
      </w:r>
      <w:r w:rsidR="00C467AA" w:rsidRPr="008F17A2">
        <w:rPr>
          <w:sz w:val="24"/>
        </w:rPr>
        <w:t>vislumbró</w:t>
      </w:r>
      <w:r w:rsidRPr="008F17A2">
        <w:rPr>
          <w:sz w:val="24"/>
        </w:rPr>
        <w:t xml:space="preserve"> una variedad de factores</w:t>
      </w:r>
      <w:r w:rsidR="00C467AA" w:rsidRPr="008F17A2">
        <w:rPr>
          <w:sz w:val="24"/>
        </w:rPr>
        <w:t xml:space="preserve"> implicados</w:t>
      </w:r>
      <w:r w:rsidRPr="008F17A2">
        <w:rPr>
          <w:sz w:val="24"/>
        </w:rPr>
        <w:t xml:space="preserve">, tales como las características del mercado, las barreras comerciales, los costos y el clima de las inversiones. </w:t>
      </w:r>
      <w:r w:rsidR="00E13D4A" w:rsidRPr="008F17A2">
        <w:rPr>
          <w:sz w:val="24"/>
        </w:rPr>
        <w:t>E</w:t>
      </w:r>
      <w:r w:rsidRPr="008F17A2">
        <w:rPr>
          <w:sz w:val="24"/>
        </w:rPr>
        <w:t xml:space="preserve">studios más recientes revelan que no </w:t>
      </w:r>
      <w:r w:rsidR="00E13D4A" w:rsidRPr="008F17A2">
        <w:rPr>
          <w:sz w:val="24"/>
        </w:rPr>
        <w:t>se han hecho</w:t>
      </w:r>
      <w:r w:rsidRPr="008F17A2">
        <w:rPr>
          <w:sz w:val="24"/>
        </w:rPr>
        <w:t xml:space="preserve"> grandes </w:t>
      </w:r>
      <w:r w:rsidRPr="008F17A2">
        <w:rPr>
          <w:sz w:val="24"/>
        </w:rPr>
        <w:lastRenderedPageBreak/>
        <w:t xml:space="preserve">modificaciones </w:t>
      </w:r>
      <w:r w:rsidR="00E13D4A" w:rsidRPr="008F17A2">
        <w:rPr>
          <w:sz w:val="24"/>
        </w:rPr>
        <w:t>a</w:t>
      </w:r>
      <w:r w:rsidRPr="008F17A2">
        <w:rPr>
          <w:sz w:val="24"/>
        </w:rPr>
        <w:t xml:space="preserve"> los determinantes de la IED, </w:t>
      </w:r>
      <w:r w:rsidR="00E13D4A" w:rsidRPr="008F17A2">
        <w:rPr>
          <w:sz w:val="24"/>
        </w:rPr>
        <w:t>pues</w:t>
      </w:r>
      <w:r w:rsidRPr="008F17A2">
        <w:rPr>
          <w:sz w:val="24"/>
        </w:rPr>
        <w:t xml:space="preserve"> se continúan considerando</w:t>
      </w:r>
      <w:r w:rsidR="00E13D4A" w:rsidRPr="008F17A2">
        <w:rPr>
          <w:sz w:val="24"/>
        </w:rPr>
        <w:t xml:space="preserve"> factores tales como </w:t>
      </w:r>
      <w:r w:rsidRPr="008F17A2">
        <w:rPr>
          <w:sz w:val="24"/>
        </w:rPr>
        <w:t xml:space="preserve">el tamaño y </w:t>
      </w:r>
      <w:r w:rsidR="00E13D4A" w:rsidRPr="008F17A2">
        <w:rPr>
          <w:sz w:val="24"/>
        </w:rPr>
        <w:t xml:space="preserve">las </w:t>
      </w:r>
      <w:r w:rsidRPr="008F17A2">
        <w:rPr>
          <w:sz w:val="24"/>
        </w:rPr>
        <w:t>características de</w:t>
      </w:r>
      <w:r w:rsidR="00E13D4A" w:rsidRPr="008F17A2">
        <w:rPr>
          <w:sz w:val="24"/>
        </w:rPr>
        <w:t>l</w:t>
      </w:r>
      <w:r w:rsidRPr="008F17A2">
        <w:rPr>
          <w:sz w:val="24"/>
        </w:rPr>
        <w:t xml:space="preserve"> mercado, los costos (relacionados con los bajos salarios) y </w:t>
      </w:r>
      <w:r w:rsidR="00E13D4A" w:rsidRPr="008F17A2">
        <w:rPr>
          <w:sz w:val="24"/>
        </w:rPr>
        <w:t xml:space="preserve">las </w:t>
      </w:r>
      <w:r w:rsidRPr="008F17A2">
        <w:rPr>
          <w:sz w:val="24"/>
        </w:rPr>
        <w:t xml:space="preserve">condiciones adecuadas para las inversiones. </w:t>
      </w:r>
    </w:p>
    <w:p w:rsidR="00307CB8" w:rsidRPr="008F17A2" w:rsidRDefault="00307CB8" w:rsidP="008F17A2">
      <w:pPr>
        <w:spacing w:line="360" w:lineRule="auto"/>
        <w:jc w:val="both"/>
        <w:rPr>
          <w:sz w:val="24"/>
        </w:rPr>
      </w:pPr>
      <w:r w:rsidRPr="008F17A2">
        <w:rPr>
          <w:sz w:val="24"/>
        </w:rPr>
        <w:t>Para el caso de México, los estudios muestran algunos de los principales factores de localización de la IED</w:t>
      </w:r>
      <w:r w:rsidR="00E44A65" w:rsidRPr="008F17A2">
        <w:rPr>
          <w:sz w:val="24"/>
        </w:rPr>
        <w:t>:</w:t>
      </w:r>
      <w:r w:rsidRPr="008F17A2">
        <w:rPr>
          <w:sz w:val="24"/>
        </w:rPr>
        <w:t xml:space="preserve"> el tamaño de mercado de la economía mexicana de industrias específicas, los salarios relativamente bajos, la firma del TLCAN y la cercanía geográfica con Estados Unidos (</w:t>
      </w:r>
      <w:r w:rsidR="00542BA1" w:rsidRPr="008F17A2">
        <w:rPr>
          <w:sz w:val="24"/>
        </w:rPr>
        <w:t xml:space="preserve">Blomström </w:t>
      </w:r>
      <w:r w:rsidR="00E44A65" w:rsidRPr="008F17A2">
        <w:rPr>
          <w:sz w:val="24"/>
        </w:rPr>
        <w:t>&amp;</w:t>
      </w:r>
      <w:r w:rsidRPr="008F17A2">
        <w:rPr>
          <w:sz w:val="24"/>
        </w:rPr>
        <w:t xml:space="preserve"> </w:t>
      </w:r>
      <w:r w:rsidR="0084287A" w:rsidRPr="008F17A2">
        <w:rPr>
          <w:sz w:val="24"/>
        </w:rPr>
        <w:t>Kokko</w:t>
      </w:r>
      <w:r w:rsidR="00E44A65" w:rsidRPr="008F17A2">
        <w:rPr>
          <w:sz w:val="24"/>
        </w:rPr>
        <w:t>,</w:t>
      </w:r>
      <w:r w:rsidR="0084287A" w:rsidRPr="008F17A2">
        <w:rPr>
          <w:sz w:val="24"/>
        </w:rPr>
        <w:t xml:space="preserve"> 1999</w:t>
      </w:r>
      <w:r w:rsidRPr="008F17A2">
        <w:rPr>
          <w:sz w:val="24"/>
        </w:rPr>
        <w:t xml:space="preserve">; Dussel, 2007; Jensen </w:t>
      </w:r>
      <w:r w:rsidR="00E44A65" w:rsidRPr="008F17A2">
        <w:rPr>
          <w:sz w:val="24"/>
        </w:rPr>
        <w:t>&amp;</w:t>
      </w:r>
      <w:r w:rsidRPr="008F17A2">
        <w:rPr>
          <w:sz w:val="24"/>
        </w:rPr>
        <w:t xml:space="preserve"> Rosas, 2007</w:t>
      </w:r>
      <w:r w:rsidR="00E44A65" w:rsidRPr="008F17A2">
        <w:rPr>
          <w:sz w:val="24"/>
        </w:rPr>
        <w:t>;</w:t>
      </w:r>
      <w:r w:rsidRPr="008F17A2">
        <w:rPr>
          <w:sz w:val="24"/>
        </w:rPr>
        <w:t xml:space="preserve"> y Jordaan, 2008). Adicionalmente, Dun</w:t>
      </w:r>
      <w:r w:rsidR="00F3144A" w:rsidRPr="008F17A2">
        <w:rPr>
          <w:sz w:val="24"/>
        </w:rPr>
        <w:t xml:space="preserve">ning </w:t>
      </w:r>
      <w:r w:rsidR="00E44A65" w:rsidRPr="008F17A2">
        <w:rPr>
          <w:sz w:val="24"/>
        </w:rPr>
        <w:t>&amp;</w:t>
      </w:r>
      <w:r w:rsidR="00F3144A" w:rsidRPr="008F17A2">
        <w:rPr>
          <w:sz w:val="24"/>
        </w:rPr>
        <w:t xml:space="preserve"> Narula</w:t>
      </w:r>
      <w:r w:rsidR="00E44A65" w:rsidRPr="008F17A2">
        <w:rPr>
          <w:sz w:val="24"/>
        </w:rPr>
        <w:t xml:space="preserve">, </w:t>
      </w:r>
      <w:r w:rsidR="00F3144A" w:rsidRPr="008F17A2">
        <w:rPr>
          <w:sz w:val="24"/>
        </w:rPr>
        <w:t>1998</w:t>
      </w:r>
      <w:r w:rsidR="00E44A65" w:rsidRPr="008F17A2">
        <w:rPr>
          <w:sz w:val="24"/>
        </w:rPr>
        <w:t>;</w:t>
      </w:r>
      <w:r w:rsidR="00F3144A" w:rsidRPr="008F17A2">
        <w:rPr>
          <w:sz w:val="24"/>
        </w:rPr>
        <w:t xml:space="preserve"> Durán</w:t>
      </w:r>
      <w:r w:rsidR="00E44A65" w:rsidRPr="008F17A2">
        <w:rPr>
          <w:sz w:val="24"/>
        </w:rPr>
        <w:t>,</w:t>
      </w:r>
      <w:r w:rsidR="00F3144A" w:rsidRPr="008F17A2">
        <w:rPr>
          <w:sz w:val="24"/>
        </w:rPr>
        <w:t xml:space="preserve"> 2005</w:t>
      </w:r>
      <w:r w:rsidR="00E44A65" w:rsidRPr="008F17A2">
        <w:rPr>
          <w:sz w:val="24"/>
        </w:rPr>
        <w:t>;</w:t>
      </w:r>
      <w:r w:rsidRPr="008F17A2">
        <w:rPr>
          <w:sz w:val="24"/>
        </w:rPr>
        <w:t xml:space="preserve"> Blomström, Globerman </w:t>
      </w:r>
      <w:r w:rsidR="00E44A65" w:rsidRPr="008F17A2">
        <w:rPr>
          <w:sz w:val="24"/>
        </w:rPr>
        <w:t>&amp;</w:t>
      </w:r>
      <w:r w:rsidRPr="008F17A2">
        <w:rPr>
          <w:sz w:val="24"/>
        </w:rPr>
        <w:t xml:space="preserve"> Kokko</w:t>
      </w:r>
      <w:r w:rsidR="00E44A65" w:rsidRPr="008F17A2">
        <w:rPr>
          <w:sz w:val="24"/>
        </w:rPr>
        <w:t xml:space="preserve">, </w:t>
      </w:r>
      <w:r w:rsidRPr="008F17A2">
        <w:rPr>
          <w:sz w:val="24"/>
        </w:rPr>
        <w:t>1999</w:t>
      </w:r>
      <w:r w:rsidR="00E44A65" w:rsidRPr="008F17A2">
        <w:rPr>
          <w:sz w:val="24"/>
        </w:rPr>
        <w:t>;</w:t>
      </w:r>
      <w:r w:rsidRPr="008F17A2">
        <w:rPr>
          <w:sz w:val="24"/>
        </w:rPr>
        <w:t xml:space="preserve"> Mollick, Durán </w:t>
      </w:r>
      <w:r w:rsidR="00E44A65" w:rsidRPr="008F17A2">
        <w:rPr>
          <w:sz w:val="24"/>
        </w:rPr>
        <w:t>&amp;</w:t>
      </w:r>
      <w:r w:rsidRPr="008F17A2">
        <w:rPr>
          <w:sz w:val="24"/>
        </w:rPr>
        <w:t xml:space="preserve"> Ochoa, </w:t>
      </w:r>
      <w:r w:rsidR="00BC568E" w:rsidRPr="008F17A2">
        <w:rPr>
          <w:sz w:val="24"/>
        </w:rPr>
        <w:t>2006</w:t>
      </w:r>
      <w:r w:rsidR="00E44A65" w:rsidRPr="008F17A2">
        <w:rPr>
          <w:sz w:val="24"/>
        </w:rPr>
        <w:t>)</w:t>
      </w:r>
      <w:r w:rsidR="00BC568E" w:rsidRPr="008F17A2">
        <w:rPr>
          <w:sz w:val="24"/>
        </w:rPr>
        <w:t xml:space="preserve"> </w:t>
      </w:r>
      <w:r w:rsidRPr="008F17A2">
        <w:rPr>
          <w:sz w:val="24"/>
        </w:rPr>
        <w:t>señalan que también la infraestructura, la</w:t>
      </w:r>
      <w:r w:rsidR="00F570FA" w:rsidRPr="008F17A2">
        <w:rPr>
          <w:sz w:val="24"/>
        </w:rPr>
        <w:t>s</w:t>
      </w:r>
      <w:r w:rsidRPr="008F17A2">
        <w:rPr>
          <w:sz w:val="24"/>
        </w:rPr>
        <w:t xml:space="preserve"> economías aglomeradas y la </w:t>
      </w:r>
      <w:r w:rsidR="00F570FA" w:rsidRPr="008F17A2">
        <w:rPr>
          <w:sz w:val="24"/>
        </w:rPr>
        <w:t xml:space="preserve">presencia o </w:t>
      </w:r>
      <w:r w:rsidRPr="008F17A2">
        <w:rPr>
          <w:sz w:val="24"/>
        </w:rPr>
        <w:t xml:space="preserve">magnitud de políticas públicas designadas a la atracción y facilitación de nueva IED, </w:t>
      </w:r>
      <w:r w:rsidR="00F570FA" w:rsidRPr="008F17A2">
        <w:rPr>
          <w:sz w:val="24"/>
        </w:rPr>
        <w:t>inciden en</w:t>
      </w:r>
      <w:r w:rsidRPr="008F17A2">
        <w:rPr>
          <w:sz w:val="24"/>
        </w:rPr>
        <w:t xml:space="preserve"> la atracción de inversiones. De todos estos factores de localización, el efecto de las políticas es el más complicado de incorporar, ya que como dato usualmente no está disponible. </w:t>
      </w:r>
    </w:p>
    <w:p w:rsidR="00307CB8" w:rsidRPr="008F17A2" w:rsidRDefault="00307CB8" w:rsidP="008F17A2">
      <w:pPr>
        <w:spacing w:line="360" w:lineRule="auto"/>
        <w:jc w:val="both"/>
        <w:rPr>
          <w:sz w:val="24"/>
        </w:rPr>
      </w:pPr>
      <w:r w:rsidRPr="008F17A2">
        <w:rPr>
          <w:sz w:val="24"/>
        </w:rPr>
        <w:t>Tamaño de mercado. Diversos estudios referentes a los factores de localización de la IED coinciden en que el tamaño de mercado y</w:t>
      </w:r>
      <w:r w:rsidR="003023F4" w:rsidRPr="008F17A2">
        <w:rPr>
          <w:sz w:val="24"/>
        </w:rPr>
        <w:t>,</w:t>
      </w:r>
      <w:r w:rsidRPr="008F17A2">
        <w:rPr>
          <w:sz w:val="24"/>
        </w:rPr>
        <w:t xml:space="preserve"> en general, el desempeño económico de un país, generalmente medido con el Producto Interno Bruto (PIB)</w:t>
      </w:r>
      <w:r w:rsidR="003023F4" w:rsidRPr="008F17A2">
        <w:rPr>
          <w:sz w:val="24"/>
        </w:rPr>
        <w:t>,</w:t>
      </w:r>
      <w:r w:rsidRPr="008F17A2">
        <w:rPr>
          <w:sz w:val="24"/>
        </w:rPr>
        <w:t xml:space="preserve"> genera un impacto directo sobre la atracción y localización de este tipo de inversiones. En este sentido, existe relación directa entre el PIB y el nivel de inversiones, es decir, a medida que el PIB de un país cre</w:t>
      </w:r>
      <w:r w:rsidR="002D5963" w:rsidRPr="008F17A2">
        <w:rPr>
          <w:sz w:val="24"/>
        </w:rPr>
        <w:t>ce</w:t>
      </w:r>
      <w:r w:rsidRPr="008F17A2">
        <w:rPr>
          <w:sz w:val="24"/>
        </w:rPr>
        <w:t>, mayores posibilidades t</w:t>
      </w:r>
      <w:r w:rsidR="002D5963" w:rsidRPr="008F17A2">
        <w:rPr>
          <w:sz w:val="24"/>
        </w:rPr>
        <w:t>iene</w:t>
      </w:r>
      <w:r w:rsidRPr="008F17A2">
        <w:rPr>
          <w:sz w:val="24"/>
        </w:rPr>
        <w:t xml:space="preserve"> de atraer IED. Cabe señalar que el PIB también puede fungir como un indicador de la aglomeración económica. </w:t>
      </w:r>
      <w:r w:rsidR="00786348" w:rsidRPr="008F17A2">
        <w:rPr>
          <w:sz w:val="24"/>
        </w:rPr>
        <w:t xml:space="preserve">Las políticas económicas orientadas a mejorar el desempeño económico del país, </w:t>
      </w:r>
      <w:r w:rsidR="003023F4" w:rsidRPr="008F17A2">
        <w:rPr>
          <w:sz w:val="24"/>
        </w:rPr>
        <w:t xml:space="preserve">se </w:t>
      </w:r>
      <w:r w:rsidR="00786348" w:rsidRPr="008F17A2">
        <w:rPr>
          <w:sz w:val="24"/>
        </w:rPr>
        <w:t>han enfocad</w:t>
      </w:r>
      <w:r w:rsidR="003023F4" w:rsidRPr="008F17A2">
        <w:rPr>
          <w:sz w:val="24"/>
        </w:rPr>
        <w:t>o</w:t>
      </w:r>
      <w:r w:rsidR="00786348" w:rsidRPr="008F17A2">
        <w:rPr>
          <w:sz w:val="24"/>
        </w:rPr>
        <w:t xml:space="preserve"> </w:t>
      </w:r>
      <w:r w:rsidR="003F2F32" w:rsidRPr="008F17A2">
        <w:rPr>
          <w:sz w:val="24"/>
        </w:rPr>
        <w:t>a</w:t>
      </w:r>
      <w:r w:rsidR="00786348" w:rsidRPr="008F17A2">
        <w:rPr>
          <w:sz w:val="24"/>
        </w:rPr>
        <w:t xml:space="preserve"> una mayor apertura e interrelación con el entorno internacional, y más recientemente</w:t>
      </w:r>
      <w:r w:rsidR="003023F4" w:rsidRPr="008F17A2">
        <w:rPr>
          <w:sz w:val="24"/>
        </w:rPr>
        <w:t xml:space="preserve"> </w:t>
      </w:r>
      <w:r w:rsidR="003F2F32" w:rsidRPr="008F17A2">
        <w:rPr>
          <w:sz w:val="24"/>
        </w:rPr>
        <w:t>a</w:t>
      </w:r>
      <w:r w:rsidR="00786348" w:rsidRPr="008F17A2">
        <w:rPr>
          <w:sz w:val="24"/>
        </w:rPr>
        <w:t xml:space="preserve"> la implementación de reformas en la política económica, cuyos resultados aún no son visibles en el país.    </w:t>
      </w:r>
    </w:p>
    <w:p w:rsidR="00307CB8" w:rsidRPr="008F17A2" w:rsidRDefault="00307CB8" w:rsidP="008F17A2">
      <w:pPr>
        <w:spacing w:line="360" w:lineRule="auto"/>
        <w:jc w:val="both"/>
        <w:rPr>
          <w:sz w:val="24"/>
        </w:rPr>
      </w:pPr>
      <w:r w:rsidRPr="008F17A2">
        <w:rPr>
          <w:sz w:val="24"/>
        </w:rPr>
        <w:t>Autores como Jones (1988) y Jordaan (2008) sostienen que dentro de las teorías más recientes se señala la existencia de diversos factores que pueden generar efectos positivo</w:t>
      </w:r>
      <w:r w:rsidR="00812B8C" w:rsidRPr="008F17A2">
        <w:rPr>
          <w:sz w:val="24"/>
        </w:rPr>
        <w:t>s</w:t>
      </w:r>
      <w:r w:rsidRPr="008F17A2">
        <w:rPr>
          <w:sz w:val="24"/>
        </w:rPr>
        <w:t xml:space="preserve"> para la atracción de mayores flujos de IED, entre los que destacan, la demanda</w:t>
      </w:r>
      <w:r w:rsidR="00812B8C" w:rsidRPr="008F17A2">
        <w:rPr>
          <w:sz w:val="24"/>
        </w:rPr>
        <w:t>,</w:t>
      </w:r>
      <w:r w:rsidRPr="008F17A2">
        <w:rPr>
          <w:sz w:val="24"/>
        </w:rPr>
        <w:t xml:space="preserve"> la presencia y tamaño de economías aglomeradas. Todas estas variables pueden generar efectos positivos para la atracción de mayores flujos de IED.</w:t>
      </w:r>
      <w:r w:rsidR="00786348" w:rsidRPr="008F17A2">
        <w:rPr>
          <w:sz w:val="24"/>
        </w:rPr>
        <w:t xml:space="preserve"> Actualmente, existe una evidente aglomeración y concentración, principalmente en la capital del país, no solo de las empresas extranjeras, sino </w:t>
      </w:r>
      <w:r w:rsidR="00812B8C" w:rsidRPr="008F17A2">
        <w:rPr>
          <w:sz w:val="24"/>
        </w:rPr>
        <w:t xml:space="preserve">también </w:t>
      </w:r>
      <w:r w:rsidR="00786348" w:rsidRPr="008F17A2">
        <w:rPr>
          <w:sz w:val="24"/>
        </w:rPr>
        <w:t xml:space="preserve">de la economía en su conjunto. </w:t>
      </w:r>
    </w:p>
    <w:p w:rsidR="00786348" w:rsidRPr="008F17A2" w:rsidRDefault="00786348" w:rsidP="008F17A2">
      <w:pPr>
        <w:spacing w:line="360" w:lineRule="auto"/>
        <w:jc w:val="both"/>
        <w:rPr>
          <w:sz w:val="24"/>
        </w:rPr>
      </w:pPr>
      <w:r w:rsidRPr="008F17A2">
        <w:rPr>
          <w:sz w:val="24"/>
        </w:rPr>
        <w:lastRenderedPageBreak/>
        <w:t xml:space="preserve">Algunos autores </w:t>
      </w:r>
      <w:r w:rsidR="00307CB8" w:rsidRPr="008F17A2">
        <w:rPr>
          <w:sz w:val="24"/>
        </w:rPr>
        <w:t xml:space="preserve">como </w:t>
      </w:r>
      <w:r w:rsidR="006B5794" w:rsidRPr="008F17A2">
        <w:rPr>
          <w:sz w:val="24"/>
        </w:rPr>
        <w:t xml:space="preserve">Yeaple (2003), Helpman, Melitz </w:t>
      </w:r>
      <w:r w:rsidR="003C6D20" w:rsidRPr="008F17A2">
        <w:rPr>
          <w:sz w:val="24"/>
        </w:rPr>
        <w:t>&amp;</w:t>
      </w:r>
      <w:r w:rsidR="006B5794" w:rsidRPr="008F17A2">
        <w:rPr>
          <w:sz w:val="24"/>
        </w:rPr>
        <w:t xml:space="preserve"> Yeaple (2004), Raff, (</w:t>
      </w:r>
      <w:r w:rsidR="005555D4" w:rsidRPr="008F17A2">
        <w:rPr>
          <w:sz w:val="24"/>
        </w:rPr>
        <w:t>2004), y Grossman et al., (1990</w:t>
      </w:r>
      <w:r w:rsidR="006B5794" w:rsidRPr="008F17A2">
        <w:rPr>
          <w:sz w:val="24"/>
        </w:rPr>
        <w:t>)</w:t>
      </w:r>
      <w:r w:rsidR="003C6D20" w:rsidRPr="008F17A2">
        <w:rPr>
          <w:sz w:val="24"/>
        </w:rPr>
        <w:t>,</w:t>
      </w:r>
      <w:r w:rsidR="00307CB8" w:rsidRPr="008F17A2">
        <w:rPr>
          <w:sz w:val="24"/>
        </w:rPr>
        <w:t xml:space="preserve"> concuerdan en la existencia de restricciones con un modelo simple de las EMNs horizontal o vertical. Mientras pu</w:t>
      </w:r>
      <w:r w:rsidR="003C6D20" w:rsidRPr="008F17A2">
        <w:rPr>
          <w:sz w:val="24"/>
        </w:rPr>
        <w:t>diera</w:t>
      </w:r>
      <w:r w:rsidR="00307CB8" w:rsidRPr="008F17A2">
        <w:rPr>
          <w:sz w:val="24"/>
        </w:rPr>
        <w:t xml:space="preserve"> ser óptimo establecer una subsidiaria extranjera satisfaciendo únicamente la demanda local (con motivos de orden horizontal), también puede ser óptimo para la misma empresa sentar una plataforma de producción para realizar exportaciones a fin de que los países anfitriones puedan coadyuvar a satisfacer la demanda de los consumidores de ahí y de cualquier otro lugar.  La propuesta de esta nueva literatura se centra en una mezcla horizontal – vertical y una compleja estrategia de integración con las EMNs (Baltagi, 2007).</w:t>
      </w:r>
      <w:r w:rsidRPr="008F17A2">
        <w:rPr>
          <w:sz w:val="24"/>
        </w:rPr>
        <w:t xml:space="preserve"> Actualmente, la demanda interna es cubierta por una buena parte de bienes y servicios producidos y ofrecidos por empresas extranjeras, cuyo objetivo de su localización fue cubrir la demanda local. </w:t>
      </w:r>
    </w:p>
    <w:p w:rsidR="00307CB8" w:rsidRPr="008F17A2" w:rsidRDefault="00307CB8" w:rsidP="008F17A2">
      <w:pPr>
        <w:spacing w:line="360" w:lineRule="auto"/>
        <w:jc w:val="both"/>
        <w:rPr>
          <w:sz w:val="24"/>
        </w:rPr>
      </w:pPr>
      <w:r w:rsidRPr="008F17A2">
        <w:rPr>
          <w:sz w:val="24"/>
        </w:rPr>
        <w:t>Salarios. Otra variable que se ha incluido en una gran cantidad de estudios referentes a los determinantes de la IED son los salarios, vistos como un indicador de los costos de producción</w:t>
      </w:r>
      <w:r w:rsidR="00D51CC4" w:rsidRPr="008F17A2">
        <w:rPr>
          <w:sz w:val="24"/>
        </w:rPr>
        <w:t>, la cual</w:t>
      </w:r>
      <w:r w:rsidRPr="008F17A2">
        <w:rPr>
          <w:sz w:val="24"/>
        </w:rPr>
        <w:t xml:space="preserve"> puede ser altamente variable, dependiendo de cada país. </w:t>
      </w:r>
      <w:r w:rsidR="00A34C42" w:rsidRPr="008F17A2">
        <w:rPr>
          <w:sz w:val="24"/>
        </w:rPr>
        <w:t>La</w:t>
      </w:r>
      <w:r w:rsidRPr="008F17A2">
        <w:rPr>
          <w:sz w:val="24"/>
        </w:rPr>
        <w:t xml:space="preserve"> importancia de los costos salariales dependerá de los objetivos de las EMNs y del país en el que decidan localizarse. Es decir, si se localizan en un país desarrollado, el objetivo no es reducir los costos de producción, sino muy probablemente aprovechar el tamaño de mercado y la gran demanda interna. No obstante, si se localizan en un país menos desarrollado, es muy probable que uno de sus objetivos centrales sea reducir costos de producción mediante el pago de bajos salarios, y de esta manera obtener un rendimiento más alto. Aunque la evidencia empírica ha mostrado que no necesariamente los inversionistas que se localizan en los lugares con los salarios más bajos obtienen mayores rendimientos, debido a la influencia de otros aspectos, tales como la ubicación geográfica en relación </w:t>
      </w:r>
      <w:r w:rsidR="000B1568" w:rsidRPr="008F17A2">
        <w:rPr>
          <w:sz w:val="24"/>
        </w:rPr>
        <w:t>con</w:t>
      </w:r>
      <w:r w:rsidRPr="008F17A2">
        <w:rPr>
          <w:sz w:val="24"/>
        </w:rPr>
        <w:t xml:space="preserve"> la cercanía donde se adquieren los insumos o </w:t>
      </w:r>
      <w:r w:rsidR="000B1568" w:rsidRPr="008F17A2">
        <w:rPr>
          <w:sz w:val="24"/>
        </w:rPr>
        <w:t>con e</w:t>
      </w:r>
      <w:r w:rsidRPr="008F17A2">
        <w:rPr>
          <w:sz w:val="24"/>
        </w:rPr>
        <w:t>l mercado, entre muchos o</w:t>
      </w:r>
      <w:r w:rsidR="00933BC9" w:rsidRPr="008F17A2">
        <w:rPr>
          <w:sz w:val="24"/>
        </w:rPr>
        <w:t xml:space="preserve">tros más (Samford </w:t>
      </w:r>
      <w:r w:rsidR="000B1568" w:rsidRPr="008F17A2">
        <w:rPr>
          <w:sz w:val="24"/>
        </w:rPr>
        <w:t>&amp;</w:t>
      </w:r>
      <w:r w:rsidR="00933BC9" w:rsidRPr="008F17A2">
        <w:rPr>
          <w:sz w:val="24"/>
        </w:rPr>
        <w:t xml:space="preserve"> Ortega, 2014</w:t>
      </w:r>
      <w:r w:rsidRPr="008F17A2">
        <w:rPr>
          <w:sz w:val="24"/>
        </w:rPr>
        <w:t xml:space="preserve">).  </w:t>
      </w:r>
    </w:p>
    <w:p w:rsidR="00307CB8" w:rsidRPr="008F17A2" w:rsidRDefault="00307CB8" w:rsidP="008F17A2">
      <w:pPr>
        <w:spacing w:line="360" w:lineRule="auto"/>
        <w:jc w:val="both"/>
        <w:rPr>
          <w:sz w:val="24"/>
        </w:rPr>
      </w:pPr>
      <w:r w:rsidRPr="008F17A2">
        <w:rPr>
          <w:sz w:val="24"/>
        </w:rPr>
        <w:t>Factores geográficos. Uno de los factores que seguramente ha influido en las decisiones de los inversionistas para situarse en México (principalmente en la frontera norte del país)</w:t>
      </w:r>
      <w:r w:rsidR="008A41A5" w:rsidRPr="008F17A2">
        <w:rPr>
          <w:sz w:val="24"/>
        </w:rPr>
        <w:t>,</w:t>
      </w:r>
      <w:r w:rsidRPr="008F17A2">
        <w:rPr>
          <w:sz w:val="24"/>
        </w:rPr>
        <w:t xml:space="preserve"> es la ubicación geográfica, ya que el colindar la frontera norte con el principal consumidor mundial, puede representar para algunos inversionistas produc</w:t>
      </w:r>
      <w:r w:rsidR="008A41A5" w:rsidRPr="008F17A2">
        <w:rPr>
          <w:sz w:val="24"/>
        </w:rPr>
        <w:t>ción con</w:t>
      </w:r>
      <w:r w:rsidRPr="008F17A2">
        <w:rPr>
          <w:sz w:val="24"/>
        </w:rPr>
        <w:t xml:space="preserve"> bajos salarios y transporta</w:t>
      </w:r>
      <w:r w:rsidR="008A41A5" w:rsidRPr="008F17A2">
        <w:rPr>
          <w:sz w:val="24"/>
        </w:rPr>
        <w:t xml:space="preserve">ción de </w:t>
      </w:r>
      <w:r w:rsidRPr="008F17A2">
        <w:rPr>
          <w:sz w:val="24"/>
        </w:rPr>
        <w:t xml:space="preserve">sus mercancías a bajo costo hacia Estados Unidos. De ahí la gran expansión de la maquila en la región norte del país, de la cual se ha beneficiado económicamente la población de esta región. Al respecto, Jordaan (2008) y Jensen </w:t>
      </w:r>
      <w:r w:rsidR="008A41A5" w:rsidRPr="008F17A2">
        <w:rPr>
          <w:sz w:val="24"/>
        </w:rPr>
        <w:t>&amp;</w:t>
      </w:r>
      <w:r w:rsidRPr="008F17A2">
        <w:rPr>
          <w:sz w:val="24"/>
        </w:rPr>
        <w:t xml:space="preserve"> </w:t>
      </w:r>
      <w:r w:rsidRPr="008F17A2">
        <w:rPr>
          <w:sz w:val="24"/>
        </w:rPr>
        <w:lastRenderedPageBreak/>
        <w:t xml:space="preserve">Rosas (2007), señalan que la ubicación geográfica es relevante para algunos inversionistas en México, ya que los productos producidos en la región fronteriza se pueden transportar fácilmente a Estados Unidos. </w:t>
      </w:r>
    </w:p>
    <w:p w:rsidR="00307CB8" w:rsidRPr="008F17A2" w:rsidRDefault="00307CB8" w:rsidP="008F17A2">
      <w:pPr>
        <w:autoSpaceDE w:val="0"/>
        <w:autoSpaceDN w:val="0"/>
        <w:adjustRightInd w:val="0"/>
        <w:spacing w:line="360" w:lineRule="auto"/>
        <w:jc w:val="both"/>
        <w:rPr>
          <w:sz w:val="24"/>
        </w:rPr>
      </w:pPr>
      <w:r w:rsidRPr="008F17A2">
        <w:rPr>
          <w:sz w:val="24"/>
        </w:rPr>
        <w:t xml:space="preserve">Infraestructura. </w:t>
      </w:r>
      <w:r w:rsidR="008F2A78" w:rsidRPr="008F17A2">
        <w:rPr>
          <w:sz w:val="24"/>
        </w:rPr>
        <w:t>De acuerdo con</w:t>
      </w:r>
      <w:r w:rsidR="00A34C42" w:rsidRPr="008F17A2">
        <w:rPr>
          <w:sz w:val="24"/>
        </w:rPr>
        <w:t xml:space="preserve"> Dunning (2000</w:t>
      </w:r>
      <w:r w:rsidR="002B093C" w:rsidRPr="008F17A2">
        <w:rPr>
          <w:sz w:val="24"/>
        </w:rPr>
        <w:t>);</w:t>
      </w:r>
      <w:r w:rsidRPr="008F17A2">
        <w:rPr>
          <w:sz w:val="24"/>
        </w:rPr>
        <w:t xml:space="preserve"> </w:t>
      </w:r>
      <w:r w:rsidR="008F2A78" w:rsidRPr="008F17A2">
        <w:rPr>
          <w:sz w:val="24"/>
        </w:rPr>
        <w:t xml:space="preserve">y </w:t>
      </w:r>
      <w:r w:rsidR="002B093C" w:rsidRPr="008F17A2">
        <w:rPr>
          <w:sz w:val="24"/>
        </w:rPr>
        <w:t xml:space="preserve">Dunning </w:t>
      </w:r>
      <w:r w:rsidR="008F2A78" w:rsidRPr="008F17A2">
        <w:rPr>
          <w:sz w:val="24"/>
        </w:rPr>
        <w:t>&amp;</w:t>
      </w:r>
      <w:r w:rsidR="002B093C" w:rsidRPr="008F17A2">
        <w:rPr>
          <w:sz w:val="24"/>
        </w:rPr>
        <w:t xml:space="preserve"> Buckley (1997</w:t>
      </w:r>
      <w:r w:rsidRPr="008F17A2">
        <w:rPr>
          <w:sz w:val="24"/>
        </w:rPr>
        <w:t xml:space="preserve">), la infraestructura es un factor de localización creado. En el mismo sentido, Álvarez </w:t>
      </w:r>
      <w:r w:rsidR="008F2A78" w:rsidRPr="008F17A2">
        <w:rPr>
          <w:sz w:val="24"/>
        </w:rPr>
        <w:t>(</w:t>
      </w:r>
      <w:r w:rsidRPr="008F17A2">
        <w:rPr>
          <w:sz w:val="24"/>
        </w:rPr>
        <w:t>2003</w:t>
      </w:r>
      <w:r w:rsidR="008F2A78" w:rsidRPr="008F17A2">
        <w:rPr>
          <w:sz w:val="24"/>
        </w:rPr>
        <w:t>)</w:t>
      </w:r>
      <w:r w:rsidRPr="008F17A2">
        <w:rPr>
          <w:sz w:val="24"/>
        </w:rPr>
        <w:t xml:space="preserve"> señala que la infraestructura es un factor que crece a la par con el crecimiento económico y el desarrollo de un país o región, conforme la senda del desarrollo va creciendo</w:t>
      </w:r>
      <w:r w:rsidR="008F2A78" w:rsidRPr="008F17A2">
        <w:rPr>
          <w:sz w:val="24"/>
        </w:rPr>
        <w:t xml:space="preserve"> y</w:t>
      </w:r>
      <w:r w:rsidRPr="008F17A2">
        <w:rPr>
          <w:sz w:val="24"/>
        </w:rPr>
        <w:t xml:space="preserve"> la infraestructura va mejorando, misma que facilita y hace más eficiente los medio</w:t>
      </w:r>
      <w:r w:rsidR="008F2A78" w:rsidRPr="008F17A2">
        <w:rPr>
          <w:sz w:val="24"/>
        </w:rPr>
        <w:t>s</w:t>
      </w:r>
      <w:r w:rsidRPr="008F17A2">
        <w:rPr>
          <w:sz w:val="24"/>
        </w:rPr>
        <w:t xml:space="preserve"> de comunicación y transporte para el comercio. </w:t>
      </w:r>
    </w:p>
    <w:p w:rsidR="00307CB8" w:rsidRPr="008F17A2" w:rsidRDefault="00307CB8" w:rsidP="008F17A2">
      <w:pPr>
        <w:autoSpaceDE w:val="0"/>
        <w:autoSpaceDN w:val="0"/>
        <w:adjustRightInd w:val="0"/>
        <w:spacing w:line="360" w:lineRule="auto"/>
        <w:jc w:val="both"/>
        <w:rPr>
          <w:sz w:val="24"/>
        </w:rPr>
      </w:pPr>
      <w:r w:rsidRPr="008F17A2">
        <w:rPr>
          <w:sz w:val="24"/>
        </w:rPr>
        <w:t>Po</w:t>
      </w:r>
      <w:r w:rsidR="006B5794" w:rsidRPr="008F17A2">
        <w:rPr>
          <w:sz w:val="24"/>
        </w:rPr>
        <w:t>r su parte, Mollick et al.</w:t>
      </w:r>
      <w:r w:rsidR="008F2A78" w:rsidRPr="008F17A2">
        <w:rPr>
          <w:sz w:val="24"/>
        </w:rPr>
        <w:t>,</w:t>
      </w:r>
      <w:r w:rsidRPr="008F17A2">
        <w:rPr>
          <w:sz w:val="24"/>
        </w:rPr>
        <w:t xml:space="preserve"> </w:t>
      </w:r>
      <w:r w:rsidR="006B5794" w:rsidRPr="008F17A2">
        <w:rPr>
          <w:sz w:val="24"/>
        </w:rPr>
        <w:t>(</w:t>
      </w:r>
      <w:r w:rsidRPr="008F17A2">
        <w:rPr>
          <w:sz w:val="24"/>
        </w:rPr>
        <w:t>2006</w:t>
      </w:r>
      <w:r w:rsidR="006B5794" w:rsidRPr="008F17A2">
        <w:rPr>
          <w:sz w:val="24"/>
        </w:rPr>
        <w:t>)</w:t>
      </w:r>
      <w:r w:rsidRPr="008F17A2">
        <w:rPr>
          <w:sz w:val="24"/>
        </w:rPr>
        <w:t xml:space="preserve">, en un estudio realizado en México, encontraron que dependiendo del tipo de infraestructura, esta coadyuvará a la atracción de IED. Ponen de ejemplo a Querétaro y Puebla que han sido altamente beneficiados mediante el comercio internacional y </w:t>
      </w:r>
      <w:r w:rsidR="008F2A78" w:rsidRPr="008F17A2">
        <w:rPr>
          <w:sz w:val="24"/>
        </w:rPr>
        <w:t xml:space="preserve">a </w:t>
      </w:r>
      <w:r w:rsidRPr="008F17A2">
        <w:rPr>
          <w:sz w:val="24"/>
        </w:rPr>
        <w:t>la IED, resultado de la promoción y construcción de moderna e innovadora infraestructura aeroportuaria. En este sentido, habrá infraestructura que facilite la atracción de IED, de acuerdo al tipo de esta. De la misma manera, los estados con puertos marítimos, como parte de la infraestructura, se supone que pueden recibir también una mayor afluencia de IED debido a la relativa facilidad de transporte. </w:t>
      </w:r>
    </w:p>
    <w:p w:rsidR="00307CB8" w:rsidRPr="008F17A2" w:rsidRDefault="00307CB8" w:rsidP="008F17A2">
      <w:pPr>
        <w:spacing w:line="360" w:lineRule="auto"/>
        <w:jc w:val="both"/>
        <w:rPr>
          <w:sz w:val="24"/>
        </w:rPr>
      </w:pPr>
      <w:r w:rsidRPr="008F17A2">
        <w:rPr>
          <w:sz w:val="24"/>
        </w:rPr>
        <w:t>Aglomeración económica. El efecto que el Distrito Federal (DF) puede generar sobre la IED puede justificar</w:t>
      </w:r>
      <w:r w:rsidR="008F2A78" w:rsidRPr="008F17A2">
        <w:rPr>
          <w:sz w:val="24"/>
        </w:rPr>
        <w:t>se</w:t>
      </w:r>
      <w:r w:rsidRPr="008F17A2">
        <w:rPr>
          <w:sz w:val="24"/>
        </w:rPr>
        <w:t xml:space="preserve"> desde la perspectiva de las economías de aglomeración, considerando la importancia de la concentración comercial, poblacional, económica y política que tiene el DF en relación </w:t>
      </w:r>
      <w:r w:rsidR="008F2A78" w:rsidRPr="008F17A2">
        <w:rPr>
          <w:sz w:val="24"/>
        </w:rPr>
        <w:t>con e</w:t>
      </w:r>
      <w:r w:rsidRPr="008F17A2">
        <w:rPr>
          <w:sz w:val="24"/>
        </w:rPr>
        <w:t xml:space="preserve">l resto del país. </w:t>
      </w:r>
    </w:p>
    <w:p w:rsidR="00307CB8" w:rsidRPr="008F17A2" w:rsidRDefault="00307CB8" w:rsidP="008F17A2">
      <w:pPr>
        <w:autoSpaceDE w:val="0"/>
        <w:autoSpaceDN w:val="0"/>
        <w:adjustRightInd w:val="0"/>
        <w:snapToGrid w:val="0"/>
        <w:spacing w:line="360" w:lineRule="auto"/>
        <w:jc w:val="both"/>
        <w:rPr>
          <w:sz w:val="24"/>
        </w:rPr>
      </w:pPr>
      <w:r w:rsidRPr="008F17A2">
        <w:rPr>
          <w:sz w:val="24"/>
        </w:rPr>
        <w:t xml:space="preserve">Basándonos en los planteamientos </w:t>
      </w:r>
      <w:r w:rsidR="00110EAD" w:rsidRPr="008F17A2">
        <w:rPr>
          <w:sz w:val="24"/>
        </w:rPr>
        <w:t>que hace</w:t>
      </w:r>
      <w:r w:rsidRPr="008F17A2">
        <w:rPr>
          <w:sz w:val="24"/>
        </w:rPr>
        <w:t xml:space="preserve"> Marshall en su libro Principles of Economics</w:t>
      </w:r>
      <w:r w:rsidR="00110EAD" w:rsidRPr="008F17A2">
        <w:rPr>
          <w:sz w:val="24"/>
        </w:rPr>
        <w:t>,</w:t>
      </w:r>
      <w:r w:rsidRPr="008F17A2">
        <w:rPr>
          <w:sz w:val="24"/>
        </w:rPr>
        <w:t xml:space="preserve"> </w:t>
      </w:r>
      <w:r w:rsidR="00110EAD" w:rsidRPr="008F17A2">
        <w:rPr>
          <w:sz w:val="24"/>
        </w:rPr>
        <w:t>que</w:t>
      </w:r>
      <w:r w:rsidRPr="008F17A2">
        <w:rPr>
          <w:sz w:val="24"/>
        </w:rPr>
        <w:t xml:space="preserve"> data de 1920, la aglomeración de las industrias en distritos industriales tiende a generar economías externas derivadas de tres factores: la posibilidad de contar co</w:t>
      </w:r>
      <w:r w:rsidR="00AC7274" w:rsidRPr="008F17A2">
        <w:rPr>
          <w:sz w:val="24"/>
        </w:rPr>
        <w:t>n un mercado de trabajo con mano</w:t>
      </w:r>
      <w:r w:rsidRPr="008F17A2">
        <w:rPr>
          <w:sz w:val="24"/>
        </w:rPr>
        <w:t xml:space="preserve"> de obra calificada; la disponibilidad de insumos intermedios y servicios especializados, y finalmente, las economías de escala externas derivadas de la difusión tecnológica que se genera cuando las industrias se encuentran cercanas </w:t>
      </w:r>
      <w:r w:rsidR="00110EAD" w:rsidRPr="008F17A2">
        <w:rPr>
          <w:sz w:val="24"/>
        </w:rPr>
        <w:t>entre sí</w:t>
      </w:r>
      <w:r w:rsidRPr="008F17A2">
        <w:rPr>
          <w:sz w:val="24"/>
        </w:rPr>
        <w:t>.</w:t>
      </w:r>
    </w:p>
    <w:p w:rsidR="00307CB8" w:rsidRPr="008F17A2" w:rsidRDefault="00307CB8" w:rsidP="008F17A2">
      <w:pPr>
        <w:autoSpaceDE w:val="0"/>
        <w:autoSpaceDN w:val="0"/>
        <w:adjustRightInd w:val="0"/>
        <w:snapToGrid w:val="0"/>
        <w:spacing w:line="360" w:lineRule="auto"/>
        <w:jc w:val="both"/>
        <w:rPr>
          <w:sz w:val="24"/>
        </w:rPr>
      </w:pPr>
      <w:r w:rsidRPr="008F17A2">
        <w:rPr>
          <w:sz w:val="24"/>
        </w:rPr>
        <w:t xml:space="preserve">Dentro de las teorías recientes, de acuerdo </w:t>
      </w:r>
      <w:r w:rsidR="00710B0C" w:rsidRPr="008F17A2">
        <w:rPr>
          <w:sz w:val="24"/>
        </w:rPr>
        <w:t>con</w:t>
      </w:r>
      <w:r w:rsidRPr="008F17A2">
        <w:rPr>
          <w:sz w:val="24"/>
        </w:rPr>
        <w:t xml:space="preserve"> Krugman (1991), existen dos fuerzas que impulsan a las empresas a generar economías de aglomeración: </w:t>
      </w:r>
      <w:r w:rsidR="00710B0C" w:rsidRPr="008F17A2">
        <w:rPr>
          <w:sz w:val="24"/>
        </w:rPr>
        <w:t xml:space="preserve">por un lado, </w:t>
      </w:r>
      <w:r w:rsidRPr="008F17A2">
        <w:rPr>
          <w:sz w:val="24"/>
        </w:rPr>
        <w:t xml:space="preserve">la necesidad de localizarse cerca de mercados </w:t>
      </w:r>
      <w:r w:rsidR="00710B0C" w:rsidRPr="008F17A2">
        <w:rPr>
          <w:sz w:val="24"/>
        </w:rPr>
        <w:t xml:space="preserve">grandes </w:t>
      </w:r>
      <w:r w:rsidRPr="008F17A2">
        <w:rPr>
          <w:sz w:val="24"/>
        </w:rPr>
        <w:t>de consumo final (centr</w:t>
      </w:r>
      <w:r w:rsidR="00710B0C" w:rsidRPr="008F17A2">
        <w:rPr>
          <w:sz w:val="24"/>
        </w:rPr>
        <w:t>í</w:t>
      </w:r>
      <w:r w:rsidRPr="008F17A2">
        <w:rPr>
          <w:sz w:val="24"/>
        </w:rPr>
        <w:t xml:space="preserve">petas) y, por otra parte, la búsqueda de las empresas por integrar nuevos mercados, que presiona para reducir la </w:t>
      </w:r>
      <w:r w:rsidRPr="008F17A2">
        <w:rPr>
          <w:sz w:val="24"/>
        </w:rPr>
        <w:lastRenderedPageBreak/>
        <w:t xml:space="preserve">localización industrial (centrífuga). El objetivo del modelo de Krugman es demostrar cómo las grandes aglomeraciones pueden surgir como consecuencia de la interacción entre rendimientos crecientes a escala y costos de transporte.  </w:t>
      </w:r>
    </w:p>
    <w:p w:rsidR="00307CB8" w:rsidRPr="008F17A2" w:rsidRDefault="00307CB8" w:rsidP="008F17A2">
      <w:pPr>
        <w:autoSpaceDE w:val="0"/>
        <w:autoSpaceDN w:val="0"/>
        <w:adjustRightInd w:val="0"/>
        <w:snapToGrid w:val="0"/>
        <w:spacing w:line="360" w:lineRule="auto"/>
        <w:jc w:val="both"/>
        <w:rPr>
          <w:sz w:val="24"/>
        </w:rPr>
      </w:pPr>
      <w:r w:rsidRPr="008F17A2">
        <w:rPr>
          <w:sz w:val="24"/>
        </w:rPr>
        <w:t xml:space="preserve">El trabajo de </w:t>
      </w:r>
      <w:r w:rsidR="00B13B43" w:rsidRPr="008F17A2">
        <w:rPr>
          <w:sz w:val="24"/>
        </w:rPr>
        <w:t xml:space="preserve">Overman, H. G. </w:t>
      </w:r>
      <w:r w:rsidR="00B86E71" w:rsidRPr="008F17A2">
        <w:rPr>
          <w:sz w:val="24"/>
        </w:rPr>
        <w:t>&amp;</w:t>
      </w:r>
      <w:r w:rsidR="00B13B43" w:rsidRPr="008F17A2">
        <w:rPr>
          <w:sz w:val="24"/>
        </w:rPr>
        <w:t xml:space="preserve"> Puga, D. (2002)</w:t>
      </w:r>
      <w:r w:rsidR="002B093C" w:rsidRPr="008F17A2">
        <w:rPr>
          <w:sz w:val="24"/>
        </w:rPr>
        <w:t xml:space="preserve">, </w:t>
      </w:r>
      <w:r w:rsidRPr="008F17A2">
        <w:rPr>
          <w:sz w:val="24"/>
        </w:rPr>
        <w:t xml:space="preserve">plantea un modelo que intenta sintetizar los modelos de tipo regional desarrollados a partir del trabajo pionero de Krugman (1991), y los modelos que inciden de forma más directa en el comercio internacional. El autor analiza el efecto de la movilidad laboral provocada por las diferencias salariales entre regiones en los procesos de integración económica, y cómo esta movilidad puede incidir en la intensificación de la concentración de la actividad económica en el territorio. </w:t>
      </w:r>
    </w:p>
    <w:p w:rsidR="00307CB8" w:rsidRPr="008F17A2" w:rsidRDefault="00307CB8" w:rsidP="008F17A2">
      <w:pPr>
        <w:autoSpaceDE w:val="0"/>
        <w:autoSpaceDN w:val="0"/>
        <w:adjustRightInd w:val="0"/>
        <w:snapToGrid w:val="0"/>
        <w:spacing w:line="360" w:lineRule="auto"/>
        <w:jc w:val="both"/>
        <w:rPr>
          <w:sz w:val="24"/>
        </w:rPr>
      </w:pPr>
      <w:r w:rsidRPr="008F17A2">
        <w:rPr>
          <w:sz w:val="24"/>
        </w:rPr>
        <w:t xml:space="preserve">Factores políticos </w:t>
      </w:r>
    </w:p>
    <w:p w:rsidR="00307CB8" w:rsidRPr="008F17A2" w:rsidRDefault="00A34C42" w:rsidP="008F17A2">
      <w:pPr>
        <w:spacing w:line="360" w:lineRule="auto"/>
        <w:jc w:val="both"/>
        <w:rPr>
          <w:sz w:val="24"/>
        </w:rPr>
      </w:pPr>
      <w:r w:rsidRPr="008F17A2">
        <w:rPr>
          <w:sz w:val="24"/>
        </w:rPr>
        <w:t>De acuerdo a Dunning (2000</w:t>
      </w:r>
      <w:r w:rsidR="00307CB8" w:rsidRPr="008F17A2">
        <w:rPr>
          <w:sz w:val="24"/>
        </w:rPr>
        <w:t xml:space="preserve">), la estabilidad política es un factor que puede ser favorable para la atracción de IED, no obstante, la inestabilidad puede ocasionar un efecto contrario. </w:t>
      </w:r>
    </w:p>
    <w:p w:rsidR="00307CB8" w:rsidRPr="008F17A2" w:rsidRDefault="00307CB8" w:rsidP="008F17A2">
      <w:pPr>
        <w:spacing w:line="360" w:lineRule="auto"/>
        <w:jc w:val="both"/>
        <w:rPr>
          <w:sz w:val="24"/>
        </w:rPr>
      </w:pPr>
      <w:r w:rsidRPr="008F17A2">
        <w:rPr>
          <w:sz w:val="24"/>
        </w:rPr>
        <w:t xml:space="preserve">Diversos estudios han encontrado que la gobernabilidad democrática está correlacionada positivamente con los flujos de inversión extranjera (Harms </w:t>
      </w:r>
      <w:r w:rsidR="00B86E71" w:rsidRPr="008F17A2">
        <w:rPr>
          <w:sz w:val="24"/>
        </w:rPr>
        <w:t>&amp;</w:t>
      </w:r>
      <w:r w:rsidRPr="008F17A2">
        <w:rPr>
          <w:sz w:val="24"/>
        </w:rPr>
        <w:t xml:space="preserve"> Ursprung</w:t>
      </w:r>
      <w:r w:rsidR="00B86E71" w:rsidRPr="008F17A2">
        <w:rPr>
          <w:sz w:val="24"/>
        </w:rPr>
        <w:t>,</w:t>
      </w:r>
      <w:r w:rsidRPr="008F17A2">
        <w:rPr>
          <w:sz w:val="24"/>
        </w:rPr>
        <w:t xml:space="preserve"> 2002</w:t>
      </w:r>
      <w:r w:rsidR="00B86E71" w:rsidRPr="008F17A2">
        <w:rPr>
          <w:sz w:val="24"/>
        </w:rPr>
        <w:t>;</w:t>
      </w:r>
      <w:r w:rsidRPr="008F17A2">
        <w:rPr>
          <w:sz w:val="24"/>
        </w:rPr>
        <w:t xml:space="preserve"> Jensen</w:t>
      </w:r>
      <w:r w:rsidR="00B86E71" w:rsidRPr="008F17A2">
        <w:rPr>
          <w:sz w:val="24"/>
        </w:rPr>
        <w:t>,</w:t>
      </w:r>
      <w:r w:rsidRPr="008F17A2">
        <w:rPr>
          <w:sz w:val="24"/>
        </w:rPr>
        <w:t xml:space="preserve"> 2003</w:t>
      </w:r>
      <w:r w:rsidR="00B86E71" w:rsidRPr="008F17A2">
        <w:rPr>
          <w:sz w:val="24"/>
        </w:rPr>
        <w:t>;</w:t>
      </w:r>
      <w:r w:rsidRPr="008F17A2">
        <w:rPr>
          <w:sz w:val="24"/>
        </w:rPr>
        <w:t xml:space="preserve"> Busse</w:t>
      </w:r>
      <w:r w:rsidR="00B86E71" w:rsidRPr="008F17A2">
        <w:rPr>
          <w:sz w:val="24"/>
        </w:rPr>
        <w:t>,</w:t>
      </w:r>
      <w:r w:rsidRPr="008F17A2">
        <w:rPr>
          <w:sz w:val="24"/>
        </w:rPr>
        <w:t xml:space="preserve"> 2004</w:t>
      </w:r>
      <w:r w:rsidR="00B86E71" w:rsidRPr="008F17A2">
        <w:rPr>
          <w:sz w:val="24"/>
        </w:rPr>
        <w:t>;</w:t>
      </w:r>
      <w:r w:rsidRPr="008F17A2">
        <w:rPr>
          <w:sz w:val="24"/>
        </w:rPr>
        <w:t xml:space="preserve"> Busse </w:t>
      </w:r>
      <w:r w:rsidR="00B86E71" w:rsidRPr="008F17A2">
        <w:rPr>
          <w:sz w:val="24"/>
        </w:rPr>
        <w:t>&amp;</w:t>
      </w:r>
      <w:r w:rsidRPr="008F17A2">
        <w:rPr>
          <w:sz w:val="24"/>
        </w:rPr>
        <w:t xml:space="preserve"> Hefeker</w:t>
      </w:r>
      <w:r w:rsidR="00B86E71" w:rsidRPr="008F17A2">
        <w:rPr>
          <w:sz w:val="24"/>
        </w:rPr>
        <w:t>,</w:t>
      </w:r>
      <w:r w:rsidRPr="008F17A2">
        <w:rPr>
          <w:sz w:val="24"/>
        </w:rPr>
        <w:t xml:space="preserve"> 2007). </w:t>
      </w:r>
      <w:r w:rsidR="00C41DCE" w:rsidRPr="008F17A2">
        <w:rPr>
          <w:sz w:val="24"/>
        </w:rPr>
        <w:t xml:space="preserve">En el año 2000, </w:t>
      </w:r>
      <w:r w:rsidRPr="008F17A2">
        <w:rPr>
          <w:sz w:val="24"/>
        </w:rPr>
        <w:t>el poder del PRI en el Poder Ejecutivo</w:t>
      </w:r>
      <w:r w:rsidR="00035DD3" w:rsidRPr="008F17A2">
        <w:rPr>
          <w:sz w:val="24"/>
        </w:rPr>
        <w:t xml:space="preserve"> se interrumpió</w:t>
      </w:r>
      <w:r w:rsidRPr="008F17A2">
        <w:rPr>
          <w:sz w:val="24"/>
        </w:rPr>
        <w:t xml:space="preserve">, </w:t>
      </w:r>
      <w:r w:rsidR="00C41DCE" w:rsidRPr="008F17A2">
        <w:rPr>
          <w:sz w:val="24"/>
        </w:rPr>
        <w:t>retomándolo en 2012</w:t>
      </w:r>
      <w:r w:rsidRPr="008F17A2">
        <w:rPr>
          <w:sz w:val="24"/>
        </w:rPr>
        <w:t>.</w:t>
      </w:r>
      <w:r w:rsidR="00C41DCE" w:rsidRPr="008F17A2">
        <w:rPr>
          <w:sz w:val="24"/>
        </w:rPr>
        <w:t xml:space="preserve"> No obstante, durante los </w:t>
      </w:r>
      <w:r w:rsidR="00035DD3" w:rsidRPr="008F17A2">
        <w:rPr>
          <w:sz w:val="24"/>
        </w:rPr>
        <w:t xml:space="preserve">doce </w:t>
      </w:r>
      <w:r w:rsidR="00C41DCE" w:rsidRPr="008F17A2">
        <w:rPr>
          <w:sz w:val="24"/>
        </w:rPr>
        <w:t xml:space="preserve">años de dominio del PAN no se observaron cambios estructurales que implicaran expectativas (positivas o negativas) diferentes a las </w:t>
      </w:r>
      <w:r w:rsidR="00344A72" w:rsidRPr="008F17A2">
        <w:rPr>
          <w:sz w:val="24"/>
        </w:rPr>
        <w:t xml:space="preserve">que se tenían </w:t>
      </w:r>
      <w:r w:rsidR="00035DD3" w:rsidRPr="008F17A2">
        <w:rPr>
          <w:sz w:val="24"/>
        </w:rPr>
        <w:t>con</w:t>
      </w:r>
      <w:r w:rsidR="00344A72" w:rsidRPr="008F17A2">
        <w:rPr>
          <w:sz w:val="24"/>
        </w:rPr>
        <w:t xml:space="preserve"> el gobierno del PRI. No obstante,  se esperaría que se tenga una incidencia más notoria a nivel estatal, por lo que se podría esperar </w:t>
      </w:r>
      <w:r w:rsidRPr="008F17A2">
        <w:rPr>
          <w:sz w:val="24"/>
        </w:rPr>
        <w:t xml:space="preserve">que los estados con mayor democracia partidista </w:t>
      </w:r>
      <w:r w:rsidR="00035DD3" w:rsidRPr="008F17A2">
        <w:rPr>
          <w:sz w:val="24"/>
        </w:rPr>
        <w:t>manifestarían</w:t>
      </w:r>
      <w:r w:rsidRPr="008F17A2">
        <w:rPr>
          <w:sz w:val="24"/>
        </w:rPr>
        <w:t xml:space="preserve"> preocupación por un mejor desempeño administrativo ante la competencia existente, </w:t>
      </w:r>
      <w:r w:rsidR="00035DD3" w:rsidRPr="008F17A2">
        <w:rPr>
          <w:sz w:val="24"/>
        </w:rPr>
        <w:t>lo cual</w:t>
      </w:r>
      <w:r w:rsidRPr="008F17A2">
        <w:rPr>
          <w:sz w:val="24"/>
        </w:rPr>
        <w:t xml:space="preserve"> generaría condiciones más propicias y atractivas para el inversionista</w:t>
      </w:r>
      <w:r w:rsidR="00035DD3" w:rsidRPr="008F17A2">
        <w:rPr>
          <w:sz w:val="24"/>
        </w:rPr>
        <w:t>.</w:t>
      </w:r>
      <w:r w:rsidRPr="008F17A2">
        <w:rPr>
          <w:sz w:val="24"/>
        </w:rPr>
        <w:t xml:space="preserve"> </w:t>
      </w:r>
    </w:p>
    <w:p w:rsidR="00307CB8" w:rsidRPr="008F17A2" w:rsidRDefault="00307CB8" w:rsidP="008F17A2">
      <w:pPr>
        <w:spacing w:line="360" w:lineRule="auto"/>
        <w:jc w:val="both"/>
        <w:rPr>
          <w:sz w:val="24"/>
        </w:rPr>
      </w:pPr>
      <w:r w:rsidRPr="008F17A2">
        <w:rPr>
          <w:sz w:val="24"/>
        </w:rPr>
        <w:t xml:space="preserve">Factores sociales  </w:t>
      </w:r>
    </w:p>
    <w:p w:rsidR="00307CB8" w:rsidRPr="008F17A2" w:rsidRDefault="00A34C42" w:rsidP="008F17A2">
      <w:pPr>
        <w:spacing w:line="360" w:lineRule="auto"/>
        <w:jc w:val="both"/>
        <w:rPr>
          <w:sz w:val="24"/>
        </w:rPr>
      </w:pPr>
      <w:r w:rsidRPr="008F17A2">
        <w:rPr>
          <w:sz w:val="24"/>
        </w:rPr>
        <w:t>Dunning (2000</w:t>
      </w:r>
      <w:r w:rsidR="00307CB8" w:rsidRPr="008F17A2">
        <w:rPr>
          <w:sz w:val="24"/>
        </w:rPr>
        <w:t xml:space="preserve">), </w:t>
      </w:r>
      <w:r w:rsidR="002B093C" w:rsidRPr="008F17A2">
        <w:rPr>
          <w:sz w:val="24"/>
        </w:rPr>
        <w:t>señala</w:t>
      </w:r>
      <w:r w:rsidR="00307CB8" w:rsidRPr="008F17A2">
        <w:rPr>
          <w:sz w:val="24"/>
        </w:rPr>
        <w:t xml:space="preserve"> que factores sociales tales como el nivel de vida y los servicios públicos, así como la actitud de la comunidad hacia las empresas pueden convertirse en determinantes para los inversionistas.  </w:t>
      </w:r>
    </w:p>
    <w:p w:rsidR="00307CB8" w:rsidRPr="008F17A2" w:rsidRDefault="00307CB8" w:rsidP="008F17A2">
      <w:pPr>
        <w:spacing w:line="360" w:lineRule="auto"/>
        <w:jc w:val="both"/>
        <w:rPr>
          <w:sz w:val="24"/>
        </w:rPr>
      </w:pPr>
      <w:r w:rsidRPr="008F17A2">
        <w:rPr>
          <w:sz w:val="24"/>
        </w:rPr>
        <w:t>La violencia y criminalidad en teoría tiene</w:t>
      </w:r>
      <w:r w:rsidR="00B40E5A" w:rsidRPr="008F17A2">
        <w:rPr>
          <w:sz w:val="24"/>
        </w:rPr>
        <w:t>n</w:t>
      </w:r>
      <w:r w:rsidRPr="008F17A2">
        <w:rPr>
          <w:sz w:val="24"/>
        </w:rPr>
        <w:t xml:space="preserve"> el potencial de aumentar la incertidumbre inherente a la inversión en un lugar determinado. Tanto las interrupciones del trabajo </w:t>
      </w:r>
      <w:r w:rsidR="00B40E5A" w:rsidRPr="008F17A2">
        <w:rPr>
          <w:sz w:val="24"/>
        </w:rPr>
        <w:t>como</w:t>
      </w:r>
      <w:r w:rsidRPr="008F17A2">
        <w:rPr>
          <w:sz w:val="24"/>
        </w:rPr>
        <w:t xml:space="preserve"> la criminalidad s</w:t>
      </w:r>
      <w:r w:rsidR="00B40E5A" w:rsidRPr="008F17A2">
        <w:rPr>
          <w:sz w:val="24"/>
        </w:rPr>
        <w:t xml:space="preserve">e </w:t>
      </w:r>
      <w:r w:rsidRPr="008F17A2">
        <w:rPr>
          <w:sz w:val="24"/>
        </w:rPr>
        <w:t>asoci</w:t>
      </w:r>
      <w:r w:rsidR="00B40E5A" w:rsidRPr="008F17A2">
        <w:rPr>
          <w:sz w:val="24"/>
        </w:rPr>
        <w:t>a</w:t>
      </w:r>
      <w:r w:rsidRPr="008F17A2">
        <w:rPr>
          <w:sz w:val="24"/>
        </w:rPr>
        <w:t>n negativamente con las entradas de IED. </w:t>
      </w:r>
      <w:r w:rsidR="0032773A" w:rsidRPr="008F17A2">
        <w:rPr>
          <w:sz w:val="24"/>
        </w:rPr>
        <w:t xml:space="preserve">No obstante, cabe la posibilidad </w:t>
      </w:r>
      <w:r w:rsidR="00B40E5A" w:rsidRPr="008F17A2">
        <w:rPr>
          <w:sz w:val="24"/>
        </w:rPr>
        <w:t xml:space="preserve">de </w:t>
      </w:r>
      <w:r w:rsidR="0032773A" w:rsidRPr="008F17A2">
        <w:rPr>
          <w:sz w:val="24"/>
        </w:rPr>
        <w:t xml:space="preserve">que </w:t>
      </w:r>
      <w:r w:rsidR="00B40E5A" w:rsidRPr="008F17A2">
        <w:rPr>
          <w:sz w:val="24"/>
        </w:rPr>
        <w:t>dicha</w:t>
      </w:r>
      <w:r w:rsidR="0032773A" w:rsidRPr="008F17A2">
        <w:rPr>
          <w:sz w:val="24"/>
        </w:rPr>
        <w:t xml:space="preserve"> relación no necesariamente ocurra, ya que </w:t>
      </w:r>
      <w:r w:rsidR="009C7E0C" w:rsidRPr="008F17A2">
        <w:rPr>
          <w:sz w:val="24"/>
        </w:rPr>
        <w:t xml:space="preserve">los </w:t>
      </w:r>
      <w:r w:rsidR="009C7E0C" w:rsidRPr="008F17A2">
        <w:rPr>
          <w:sz w:val="24"/>
        </w:rPr>
        <w:lastRenderedPageBreak/>
        <w:t xml:space="preserve">inversionistas suelen </w:t>
      </w:r>
      <w:r w:rsidR="00B40E5A" w:rsidRPr="008F17A2">
        <w:rPr>
          <w:sz w:val="24"/>
        </w:rPr>
        <w:t xml:space="preserve">involucrarse poco o no involucrarse </w:t>
      </w:r>
      <w:r w:rsidR="009C7E0C" w:rsidRPr="008F17A2">
        <w:rPr>
          <w:sz w:val="24"/>
        </w:rPr>
        <w:t xml:space="preserve">con los problemas sociales, siempre </w:t>
      </w:r>
      <w:r w:rsidR="00B40E5A" w:rsidRPr="008F17A2">
        <w:rPr>
          <w:sz w:val="24"/>
        </w:rPr>
        <w:t xml:space="preserve">y cuando </w:t>
      </w:r>
      <w:r w:rsidR="009C7E0C" w:rsidRPr="008F17A2">
        <w:rPr>
          <w:sz w:val="24"/>
        </w:rPr>
        <w:t>sus objetivos no se</w:t>
      </w:r>
      <w:r w:rsidR="00B40E5A" w:rsidRPr="008F17A2">
        <w:rPr>
          <w:sz w:val="24"/>
        </w:rPr>
        <w:t xml:space="preserve"> vean</w:t>
      </w:r>
      <w:r w:rsidR="009C7E0C" w:rsidRPr="008F17A2">
        <w:rPr>
          <w:sz w:val="24"/>
        </w:rPr>
        <w:t xml:space="preserve"> afectados. En este sentido, las empresas que podrían resultar afectadas en mayor medida, son aquellas que se dedican a cubrir la demanda interna.  </w:t>
      </w:r>
    </w:p>
    <w:p w:rsidR="00307CB8" w:rsidRPr="008F17A2" w:rsidRDefault="00307CB8" w:rsidP="008F17A2">
      <w:pPr>
        <w:spacing w:line="360" w:lineRule="auto"/>
        <w:jc w:val="both"/>
        <w:rPr>
          <w:sz w:val="24"/>
        </w:rPr>
      </w:pPr>
      <w:r w:rsidRPr="008F17A2">
        <w:rPr>
          <w:sz w:val="24"/>
        </w:rPr>
        <w:t xml:space="preserve">Factores administrativos </w:t>
      </w:r>
    </w:p>
    <w:p w:rsidR="00307CB8" w:rsidRPr="008F17A2" w:rsidRDefault="00307CB8" w:rsidP="008F17A2">
      <w:pPr>
        <w:spacing w:line="360" w:lineRule="auto"/>
        <w:jc w:val="both"/>
        <w:rPr>
          <w:sz w:val="24"/>
        </w:rPr>
      </w:pPr>
      <w:r w:rsidRPr="008F17A2">
        <w:rPr>
          <w:sz w:val="24"/>
        </w:rPr>
        <w:t>Diversos factores administrativos, tales como la corrupción y la eficiencia han sido utilizados para medir las condiciones burocráticas que los inversionistas extranjeros enfrentarán a la hora de decidir dónde ubicar su inversión en México. </w:t>
      </w:r>
    </w:p>
    <w:p w:rsidR="00307CB8" w:rsidRPr="008F17A2" w:rsidRDefault="00E8052F" w:rsidP="008F17A2">
      <w:pPr>
        <w:spacing w:line="360" w:lineRule="auto"/>
        <w:jc w:val="both"/>
        <w:rPr>
          <w:sz w:val="24"/>
        </w:rPr>
      </w:pPr>
      <w:r w:rsidRPr="008F17A2">
        <w:rPr>
          <w:sz w:val="24"/>
        </w:rPr>
        <w:t>De acuerdo a Egger (2005</w:t>
      </w:r>
      <w:r w:rsidR="00307CB8" w:rsidRPr="008F17A2">
        <w:rPr>
          <w:sz w:val="24"/>
        </w:rPr>
        <w:t xml:space="preserve">), la corrupción parece ser un factor no determinante para la atracción de IED en términos absolutos. China, Brasil, Tailandia y México reciben altos flujos de inversión a pesar de que se percibe un alto nivel de corrupción; </w:t>
      </w:r>
      <w:r w:rsidR="006110E0" w:rsidRPr="008F17A2">
        <w:rPr>
          <w:sz w:val="24"/>
        </w:rPr>
        <w:t>m</w:t>
      </w:r>
      <w:r w:rsidR="00307CB8" w:rsidRPr="008F17A2">
        <w:rPr>
          <w:sz w:val="24"/>
        </w:rPr>
        <w:t>ientras que Italia es percibid</w:t>
      </w:r>
      <w:r w:rsidR="006110E0" w:rsidRPr="008F17A2">
        <w:rPr>
          <w:sz w:val="24"/>
        </w:rPr>
        <w:t>a</w:t>
      </w:r>
      <w:r w:rsidR="00307CB8" w:rsidRPr="008F17A2">
        <w:rPr>
          <w:sz w:val="24"/>
        </w:rPr>
        <w:t xml:space="preserve"> relativamente corrupt</w:t>
      </w:r>
      <w:r w:rsidR="006110E0" w:rsidRPr="008F17A2">
        <w:rPr>
          <w:sz w:val="24"/>
        </w:rPr>
        <w:t>a</w:t>
      </w:r>
      <w:r w:rsidR="00307CB8" w:rsidRPr="008F17A2">
        <w:rPr>
          <w:sz w:val="24"/>
        </w:rPr>
        <w:t xml:space="preserve"> y recibe modestos ingresos de IED, Bélgica, con tasas de corrupción similar atrae sustanciales flujos de IED. Por lo que el factor de la corrupción resulta paradójico y su análisis requiere ser tratado con mucho cuidado.  </w:t>
      </w:r>
    </w:p>
    <w:p w:rsidR="00307CB8" w:rsidRPr="008F17A2" w:rsidRDefault="00E8052F" w:rsidP="008F17A2">
      <w:pPr>
        <w:spacing w:line="360" w:lineRule="auto"/>
        <w:jc w:val="both"/>
        <w:rPr>
          <w:sz w:val="24"/>
        </w:rPr>
      </w:pPr>
      <w:r w:rsidRPr="008F17A2">
        <w:rPr>
          <w:sz w:val="24"/>
        </w:rPr>
        <w:t xml:space="preserve">Aunque </w:t>
      </w:r>
      <w:r w:rsidR="004E11B2" w:rsidRPr="008F17A2">
        <w:rPr>
          <w:sz w:val="24"/>
        </w:rPr>
        <w:t>Smarzynska</w:t>
      </w:r>
      <w:r w:rsidR="00307CB8" w:rsidRPr="008F17A2">
        <w:rPr>
          <w:sz w:val="24"/>
        </w:rPr>
        <w:t xml:space="preserve"> </w:t>
      </w:r>
      <w:r w:rsidR="006110E0" w:rsidRPr="008F17A2">
        <w:rPr>
          <w:sz w:val="24"/>
        </w:rPr>
        <w:t>&amp;</w:t>
      </w:r>
      <w:r w:rsidR="00307CB8" w:rsidRPr="008F17A2">
        <w:rPr>
          <w:sz w:val="24"/>
        </w:rPr>
        <w:t xml:space="preserve"> Wei (2002), señalan que los altos niveles de corrupción gubernamental reducen la entrada de inversión</w:t>
      </w:r>
      <w:r w:rsidR="00616800" w:rsidRPr="008F17A2">
        <w:rPr>
          <w:sz w:val="24"/>
        </w:rPr>
        <w:t>, l</w:t>
      </w:r>
      <w:r w:rsidR="00307CB8" w:rsidRPr="008F17A2">
        <w:rPr>
          <w:sz w:val="24"/>
        </w:rPr>
        <w:t xml:space="preserve">a lógica general se sustenta en </w:t>
      </w:r>
      <w:r w:rsidR="00616800" w:rsidRPr="008F17A2">
        <w:rPr>
          <w:sz w:val="24"/>
        </w:rPr>
        <w:t>una</w:t>
      </w:r>
      <w:r w:rsidR="00307CB8" w:rsidRPr="008F17A2">
        <w:rPr>
          <w:sz w:val="24"/>
        </w:rPr>
        <w:t xml:space="preserve"> relación negativa, puesto que la corrupción tiende a elevar los costos (bajo la necesidad de pagar sobornos) y la incertidumbre </w:t>
      </w:r>
      <w:r w:rsidR="00616800" w:rsidRPr="008F17A2">
        <w:rPr>
          <w:sz w:val="24"/>
        </w:rPr>
        <w:t>se asocia</w:t>
      </w:r>
      <w:r w:rsidR="00307CB8" w:rsidRPr="008F17A2">
        <w:rPr>
          <w:sz w:val="24"/>
        </w:rPr>
        <w:t xml:space="preserve"> con la inversión en un lugar determinado. Como tal, los inversores </w:t>
      </w:r>
      <w:r w:rsidR="00616800" w:rsidRPr="008F17A2">
        <w:rPr>
          <w:sz w:val="24"/>
        </w:rPr>
        <w:t>evitan</w:t>
      </w:r>
      <w:r w:rsidR="00307CB8" w:rsidRPr="008F17A2">
        <w:rPr>
          <w:sz w:val="24"/>
        </w:rPr>
        <w:t xml:space="preserve"> lugares donde los niveles de corrupción y malversación</w:t>
      </w:r>
      <w:r w:rsidR="004E11B2" w:rsidRPr="008F17A2">
        <w:rPr>
          <w:sz w:val="24"/>
        </w:rPr>
        <w:t xml:space="preserve"> se</w:t>
      </w:r>
      <w:r w:rsidR="00616800" w:rsidRPr="008F17A2">
        <w:rPr>
          <w:sz w:val="24"/>
        </w:rPr>
        <w:t xml:space="preserve">an </w:t>
      </w:r>
      <w:r w:rsidR="004E11B2" w:rsidRPr="008F17A2">
        <w:rPr>
          <w:sz w:val="24"/>
        </w:rPr>
        <w:t>elevad</w:t>
      </w:r>
      <w:r w:rsidR="00616800" w:rsidRPr="008F17A2">
        <w:rPr>
          <w:sz w:val="24"/>
        </w:rPr>
        <w:t>os</w:t>
      </w:r>
      <w:r w:rsidR="004E11B2" w:rsidRPr="008F17A2">
        <w:rPr>
          <w:sz w:val="24"/>
        </w:rPr>
        <w:t xml:space="preserve"> (Samford </w:t>
      </w:r>
      <w:r w:rsidR="00616800" w:rsidRPr="008F17A2">
        <w:rPr>
          <w:sz w:val="24"/>
        </w:rPr>
        <w:t>&amp;</w:t>
      </w:r>
      <w:r w:rsidR="004E11B2" w:rsidRPr="008F17A2">
        <w:rPr>
          <w:sz w:val="24"/>
        </w:rPr>
        <w:t xml:space="preserve"> Ortega, 2014</w:t>
      </w:r>
      <w:r w:rsidR="00307CB8" w:rsidRPr="008F17A2">
        <w:rPr>
          <w:sz w:val="24"/>
        </w:rPr>
        <w:t xml:space="preserve">). </w:t>
      </w:r>
    </w:p>
    <w:p w:rsidR="00307CB8" w:rsidRPr="008F17A2" w:rsidRDefault="00307CB8" w:rsidP="008F17A2">
      <w:pPr>
        <w:spacing w:line="360" w:lineRule="auto"/>
        <w:jc w:val="both"/>
        <w:rPr>
          <w:sz w:val="24"/>
        </w:rPr>
      </w:pPr>
      <w:r w:rsidRPr="008F17A2">
        <w:rPr>
          <w:sz w:val="24"/>
        </w:rPr>
        <w:t>Una economía corrupta no provee a sus competidores una apertura y acceso al mercado equitativo. El precio y la calidad llegan a ser menos importantes que el acceso cuando se da un soborno. Los pagos en los países anfitriones no tienen un valor oficial de mercado</w:t>
      </w:r>
      <w:r w:rsidR="0084740D" w:rsidRPr="008F17A2">
        <w:rPr>
          <w:sz w:val="24"/>
        </w:rPr>
        <w:t>,</w:t>
      </w:r>
      <w:r w:rsidRPr="008F17A2">
        <w:rPr>
          <w:sz w:val="24"/>
        </w:rPr>
        <w:t xml:space="preserve"> de ahí el aumento de los costos de los bienes cuando son comparados con el mercado competitivo. Este puede ser el mayor </w:t>
      </w:r>
      <w:r w:rsidR="0084740D" w:rsidRPr="008F17A2">
        <w:rPr>
          <w:sz w:val="24"/>
        </w:rPr>
        <w:t xml:space="preserve">factor que desmotive a </w:t>
      </w:r>
      <w:r w:rsidRPr="008F17A2">
        <w:rPr>
          <w:sz w:val="24"/>
        </w:rPr>
        <w:t xml:space="preserve">los inversores extranjeros </w:t>
      </w:r>
      <w:r w:rsidR="00E8052F" w:rsidRPr="008F17A2">
        <w:rPr>
          <w:sz w:val="24"/>
        </w:rPr>
        <w:t>(Egger, 2005</w:t>
      </w:r>
      <w:r w:rsidRPr="008F17A2">
        <w:rPr>
          <w:sz w:val="24"/>
        </w:rPr>
        <w:t xml:space="preserve">).  </w:t>
      </w:r>
    </w:p>
    <w:p w:rsidR="00307CB8" w:rsidRPr="00DE7E31" w:rsidRDefault="00307CB8" w:rsidP="008F17A2">
      <w:pPr>
        <w:spacing w:line="360" w:lineRule="auto"/>
        <w:jc w:val="both"/>
        <w:rPr>
          <w:rStyle w:val="apple-style-span"/>
          <w:rFonts w:ascii="Arial" w:hAnsi="Arial" w:cs="Arial"/>
          <w:sz w:val="24"/>
        </w:rPr>
      </w:pPr>
      <w:r w:rsidRPr="008F17A2">
        <w:rPr>
          <w:sz w:val="24"/>
        </w:rPr>
        <w:t>De acuerdo al índice d</w:t>
      </w:r>
      <w:r w:rsidR="007A5F4B" w:rsidRPr="008F17A2">
        <w:rPr>
          <w:sz w:val="24"/>
        </w:rPr>
        <w:t>e corrupción internacional (2013</w:t>
      </w:r>
      <w:r w:rsidRPr="008F17A2">
        <w:rPr>
          <w:sz w:val="24"/>
        </w:rPr>
        <w:t>), México es considerado uno de los países más corruptos, situ</w:t>
      </w:r>
      <w:r w:rsidR="007A5F4B" w:rsidRPr="008F17A2">
        <w:rPr>
          <w:sz w:val="24"/>
        </w:rPr>
        <w:t>ándose en la posición número 106 de 177</w:t>
      </w:r>
      <w:r w:rsidRPr="008F17A2">
        <w:rPr>
          <w:sz w:val="24"/>
        </w:rPr>
        <w:t xml:space="preserve"> naciones</w:t>
      </w:r>
      <w:r w:rsidR="007A5F4B" w:rsidRPr="008F17A2">
        <w:rPr>
          <w:sz w:val="24"/>
        </w:rPr>
        <w:t>, cayendo una posición respecto al año 2012, en cuyo estudio participaron 176 naciones. Es así que</w:t>
      </w:r>
      <w:r w:rsidRPr="008F17A2">
        <w:rPr>
          <w:sz w:val="24"/>
        </w:rPr>
        <w:t xml:space="preserve"> en el presente estudio se incluyen variables indicadoras de la corrupción para identificar si en este país son un factor que influy</w:t>
      </w:r>
      <w:r w:rsidR="00375059" w:rsidRPr="008F17A2">
        <w:rPr>
          <w:sz w:val="24"/>
        </w:rPr>
        <w:t>e</w:t>
      </w:r>
      <w:r w:rsidRPr="008F17A2">
        <w:rPr>
          <w:sz w:val="24"/>
        </w:rPr>
        <w:t xml:space="preserve"> en las decisiones de los inversionistas.</w:t>
      </w:r>
      <w:r w:rsidRPr="00DE7E31">
        <w:rPr>
          <w:rStyle w:val="apple-style-span"/>
          <w:rFonts w:ascii="Arial" w:hAnsi="Arial" w:cs="Arial"/>
          <w:sz w:val="24"/>
        </w:rPr>
        <w:t xml:space="preserve"> </w:t>
      </w:r>
    </w:p>
    <w:p w:rsidR="00307CB8" w:rsidRPr="00DE7E31" w:rsidRDefault="00620A23" w:rsidP="006C2E9D">
      <w:pPr>
        <w:spacing w:line="480" w:lineRule="auto"/>
        <w:jc w:val="both"/>
        <w:rPr>
          <w:rFonts w:ascii="Arial" w:eastAsia="Times New Roman" w:hAnsi="Arial" w:cs="Arial"/>
          <w:b/>
          <w:color w:val="888888"/>
          <w:sz w:val="24"/>
          <w:lang w:eastAsia="es-MX"/>
        </w:rPr>
      </w:pPr>
      <w:r w:rsidRPr="00DE7E31">
        <w:rPr>
          <w:rFonts w:ascii="Arial" w:eastAsia="Times New Roman" w:hAnsi="Arial" w:cs="Arial"/>
          <w:b/>
          <w:sz w:val="24"/>
          <w:lang w:val="es-ES" w:eastAsia="es-MX"/>
        </w:rPr>
        <w:lastRenderedPageBreak/>
        <w:t>MÉTODOS Y ESTIMACIONES</w:t>
      </w:r>
    </w:p>
    <w:p w:rsidR="00307CB8" w:rsidRPr="008F17A2" w:rsidRDefault="00307CB8" w:rsidP="008F17A2">
      <w:pPr>
        <w:spacing w:line="360" w:lineRule="auto"/>
        <w:jc w:val="both"/>
        <w:rPr>
          <w:sz w:val="24"/>
        </w:rPr>
      </w:pPr>
      <w:r w:rsidRPr="008F17A2">
        <w:rPr>
          <w:sz w:val="24"/>
        </w:rPr>
        <w:t>El análisis empírico consiste en la estimación de una serie de tiempo de corte transversal y de series de tiempo con una matriz de datos</w:t>
      </w:r>
      <w:r w:rsidR="00AC7274" w:rsidRPr="008F17A2">
        <w:rPr>
          <w:sz w:val="24"/>
        </w:rPr>
        <w:t xml:space="preserve"> de</w:t>
      </w:r>
      <w:r w:rsidRPr="008F17A2">
        <w:rPr>
          <w:sz w:val="24"/>
        </w:rPr>
        <w:t xml:space="preserve"> panel de las 32 entidades federativas de México. Se aplica el método de </w:t>
      </w:r>
      <w:r w:rsidR="005555D4" w:rsidRPr="008F17A2">
        <w:rPr>
          <w:sz w:val="24"/>
        </w:rPr>
        <w:t>estimación OLS (</w:t>
      </w:r>
      <w:r w:rsidR="00375059" w:rsidRPr="008F17A2">
        <w:rPr>
          <w:sz w:val="24"/>
        </w:rPr>
        <w:t>O</w:t>
      </w:r>
      <w:r w:rsidR="005555D4" w:rsidRPr="008F17A2">
        <w:rPr>
          <w:sz w:val="24"/>
        </w:rPr>
        <w:t xml:space="preserve">rdinary </w:t>
      </w:r>
      <w:r w:rsidR="00375059" w:rsidRPr="008F17A2">
        <w:rPr>
          <w:sz w:val="24"/>
        </w:rPr>
        <w:t>L</w:t>
      </w:r>
      <w:r w:rsidR="005555D4" w:rsidRPr="008F17A2">
        <w:rPr>
          <w:sz w:val="24"/>
        </w:rPr>
        <w:t xml:space="preserve">east </w:t>
      </w:r>
      <w:r w:rsidR="00375059" w:rsidRPr="008F17A2">
        <w:rPr>
          <w:sz w:val="24"/>
        </w:rPr>
        <w:t>S</w:t>
      </w:r>
      <w:r w:rsidR="005555D4" w:rsidRPr="008F17A2">
        <w:rPr>
          <w:sz w:val="24"/>
        </w:rPr>
        <w:t>quarer)</w:t>
      </w:r>
      <w:r w:rsidRPr="008F17A2">
        <w:rPr>
          <w:sz w:val="24"/>
        </w:rPr>
        <w:t xml:space="preserve"> para determinar los factores de influencia de la IED en México.</w:t>
      </w:r>
    </w:p>
    <w:p w:rsidR="008F17A2" w:rsidRDefault="00307CB8" w:rsidP="008F17A2">
      <w:pPr>
        <w:spacing w:line="360" w:lineRule="auto"/>
        <w:jc w:val="both"/>
        <w:rPr>
          <w:sz w:val="24"/>
        </w:rPr>
      </w:pPr>
      <w:r w:rsidRPr="008F17A2">
        <w:rPr>
          <w:sz w:val="24"/>
        </w:rPr>
        <w:t>El análisis parte de un modelo base de los factores económicos que ha demostrado tener influencia a nivel entidad federativa en la IED en México: el PIB anual por estado como indicador del tamaño del mercado; </w:t>
      </w:r>
      <w:r w:rsidR="00D6145C" w:rsidRPr="008F17A2">
        <w:rPr>
          <w:sz w:val="24"/>
        </w:rPr>
        <w:t xml:space="preserve">el </w:t>
      </w:r>
      <w:r w:rsidRPr="008F17A2">
        <w:rPr>
          <w:sz w:val="24"/>
        </w:rPr>
        <w:t>salario promedio estatal como un indicador del costo de mano de obra, el nivel promedio de escolaridad en el estado como una medida de capital humano y la densidad telefónica como una medida del desarrollo infraestructural. </w:t>
      </w:r>
    </w:p>
    <w:p w:rsidR="00307CB8" w:rsidRDefault="00307CB8" w:rsidP="008F17A2">
      <w:pPr>
        <w:spacing w:line="360" w:lineRule="auto"/>
        <w:jc w:val="both"/>
        <w:rPr>
          <w:rFonts w:ascii="Arial" w:eastAsia="Times New Roman" w:hAnsi="Arial" w:cs="Arial"/>
          <w:sz w:val="24"/>
          <w:lang w:val="es-ES" w:eastAsia="es-MX"/>
        </w:rPr>
      </w:pPr>
      <w:r w:rsidRPr="008F17A2">
        <w:rPr>
          <w:sz w:val="24"/>
        </w:rPr>
        <w:t>Después del modelo base se incluye una serie de variables ficticias de ubicación: 1) el efecto Distrito Federal como el centro comercial y cultural del país y sede del gobierno federal, 2) </w:t>
      </w:r>
      <w:r w:rsidR="00D6145C" w:rsidRPr="008F17A2">
        <w:rPr>
          <w:sz w:val="24"/>
        </w:rPr>
        <w:t>e</w:t>
      </w:r>
      <w:r w:rsidRPr="008F17A2">
        <w:rPr>
          <w:sz w:val="24"/>
        </w:rPr>
        <w:t>l efecto frontera para los estados que limitan con Estados Unidos, por lo que implica mayor atracción de IED y reducción de costos de transporte a </w:t>
      </w:r>
      <w:r w:rsidR="00D6145C" w:rsidRPr="008F17A2">
        <w:rPr>
          <w:sz w:val="24"/>
        </w:rPr>
        <w:t>ese país</w:t>
      </w:r>
      <w:r w:rsidRPr="008F17A2">
        <w:rPr>
          <w:sz w:val="24"/>
        </w:rPr>
        <w:t xml:space="preserve">, el socio comercial </w:t>
      </w:r>
      <w:r w:rsidR="00D6145C" w:rsidRPr="008F17A2">
        <w:rPr>
          <w:sz w:val="24"/>
        </w:rPr>
        <w:t xml:space="preserve">más importante </w:t>
      </w:r>
      <w:r w:rsidRPr="008F17A2">
        <w:rPr>
          <w:sz w:val="24"/>
        </w:rPr>
        <w:t>de México, y 3) los estados mexicanos con puertos, considerada una medida de acceso a los mercados extranjeros. Los modelos posteriores incluyen variables políticas y administrativas que se espera tengan un impacto en el nivel de inversión: la competencia política, la estabilidad social, y</w:t>
      </w:r>
      <w:r w:rsidR="00A340C1" w:rsidRPr="008F17A2">
        <w:rPr>
          <w:sz w:val="24"/>
        </w:rPr>
        <w:t xml:space="preserve"> la competencia administrativa.</w:t>
      </w:r>
    </w:p>
    <w:p w:rsidR="00654697" w:rsidRPr="00A340C1" w:rsidRDefault="00654697" w:rsidP="00A340C1">
      <w:pPr>
        <w:spacing w:after="0" w:line="480" w:lineRule="auto"/>
        <w:jc w:val="both"/>
        <w:rPr>
          <w:rFonts w:ascii="Arial" w:eastAsia="Times New Roman" w:hAnsi="Arial" w:cs="Arial"/>
          <w:sz w:val="24"/>
          <w:lang w:val="es-ES" w:eastAsia="es-MX"/>
        </w:rPr>
      </w:pPr>
    </w:p>
    <w:p w:rsidR="00307CB8" w:rsidRPr="00DE7E31" w:rsidRDefault="00620A23" w:rsidP="006C2E9D">
      <w:pPr>
        <w:spacing w:line="480" w:lineRule="auto"/>
        <w:jc w:val="both"/>
        <w:rPr>
          <w:rFonts w:ascii="Arial" w:hAnsi="Arial" w:cs="Arial"/>
          <w:b/>
          <w:sz w:val="24"/>
        </w:rPr>
      </w:pPr>
      <w:r w:rsidRPr="00DE7E31">
        <w:rPr>
          <w:rFonts w:ascii="Arial" w:hAnsi="Arial" w:cs="Arial"/>
          <w:b/>
          <w:sz w:val="24"/>
        </w:rPr>
        <w:t xml:space="preserve">Descripción de </w:t>
      </w:r>
      <w:r w:rsidR="00D6145C">
        <w:rPr>
          <w:rFonts w:ascii="Arial" w:hAnsi="Arial" w:cs="Arial"/>
          <w:b/>
          <w:sz w:val="24"/>
        </w:rPr>
        <w:t>d</w:t>
      </w:r>
      <w:r w:rsidR="00307CB8" w:rsidRPr="00DE7E31">
        <w:rPr>
          <w:rFonts w:ascii="Arial" w:hAnsi="Arial" w:cs="Arial"/>
          <w:b/>
          <w:sz w:val="24"/>
        </w:rPr>
        <w:t>atos</w:t>
      </w:r>
    </w:p>
    <w:p w:rsidR="00E8052F" w:rsidRPr="008F17A2" w:rsidRDefault="00E8052F" w:rsidP="008F17A2">
      <w:pPr>
        <w:pStyle w:val="Sinespaciado"/>
        <w:spacing w:line="360" w:lineRule="auto"/>
        <w:jc w:val="both"/>
        <w:rPr>
          <w:sz w:val="24"/>
        </w:rPr>
      </w:pPr>
      <w:r w:rsidRPr="008F17A2">
        <w:rPr>
          <w:sz w:val="24"/>
        </w:rPr>
        <w:t>El per</w:t>
      </w:r>
      <w:r w:rsidR="00654697" w:rsidRPr="008F17A2">
        <w:rPr>
          <w:sz w:val="24"/>
        </w:rPr>
        <w:t>i</w:t>
      </w:r>
      <w:r w:rsidRPr="008F17A2">
        <w:rPr>
          <w:sz w:val="24"/>
        </w:rPr>
        <w:t>odo de análisis de es</w:t>
      </w:r>
      <w:r w:rsidR="0002496E" w:rsidRPr="008F17A2">
        <w:rPr>
          <w:sz w:val="24"/>
        </w:rPr>
        <w:t>te ensayo contempla de 1999</w:t>
      </w:r>
      <w:r w:rsidR="00654697" w:rsidRPr="008F17A2">
        <w:rPr>
          <w:sz w:val="24"/>
        </w:rPr>
        <w:t xml:space="preserve"> a </w:t>
      </w:r>
      <w:r w:rsidR="0002496E" w:rsidRPr="008F17A2">
        <w:rPr>
          <w:sz w:val="24"/>
        </w:rPr>
        <w:t>2013</w:t>
      </w:r>
      <w:r w:rsidR="00654697" w:rsidRPr="008F17A2">
        <w:rPr>
          <w:sz w:val="24"/>
        </w:rPr>
        <w:t>. E</w:t>
      </w:r>
      <w:r w:rsidRPr="008F17A2">
        <w:rPr>
          <w:sz w:val="24"/>
        </w:rPr>
        <w:t>l año 1999 precede</w:t>
      </w:r>
      <w:r w:rsidR="00654697" w:rsidRPr="008F17A2">
        <w:rPr>
          <w:sz w:val="24"/>
        </w:rPr>
        <w:t xml:space="preserve"> a</w:t>
      </w:r>
      <w:r w:rsidRPr="008F17A2">
        <w:rPr>
          <w:sz w:val="24"/>
        </w:rPr>
        <w:t xml:space="preserve"> los cambios económicos y políticos que a</w:t>
      </w:r>
      <w:r w:rsidR="00A340C1" w:rsidRPr="008F17A2">
        <w:rPr>
          <w:sz w:val="24"/>
        </w:rPr>
        <w:t>contecen a partir del 2000.</w:t>
      </w:r>
    </w:p>
    <w:p w:rsidR="00E8052F" w:rsidRPr="008F17A2" w:rsidRDefault="00E8052F" w:rsidP="008F17A2">
      <w:pPr>
        <w:pStyle w:val="Sinespaciado"/>
        <w:spacing w:line="360" w:lineRule="auto"/>
        <w:jc w:val="both"/>
        <w:rPr>
          <w:sz w:val="24"/>
        </w:rPr>
      </w:pPr>
      <w:r w:rsidRPr="008F17A2">
        <w:rPr>
          <w:sz w:val="24"/>
        </w:rPr>
        <w:t>Económicamente, de los 13 acuerdos comerciales bilaterales y multilaterales regionales</w:t>
      </w:r>
      <w:r w:rsidRPr="008F17A2">
        <w:t xml:space="preserve"> de </w:t>
      </w:r>
      <w:r w:rsidRPr="008F17A2">
        <w:rPr>
          <w:sz w:val="24"/>
        </w:rPr>
        <w:t>los que México es partidario, todos menos uno (México-Japón, 2005) fueron negociado</w:t>
      </w:r>
      <w:r w:rsidR="004E11B2" w:rsidRPr="008F17A2">
        <w:rPr>
          <w:sz w:val="24"/>
        </w:rPr>
        <w:t>s y firmados en el año 2000</w:t>
      </w:r>
      <w:r w:rsidRPr="008F17A2">
        <w:rPr>
          <w:sz w:val="24"/>
        </w:rPr>
        <w:t xml:space="preserve">. Estos acuerdos pueden afectar tanto los flujos comerciales como regionales y contienen cláusulas que rigen la IED, </w:t>
      </w:r>
      <w:r w:rsidR="00654697" w:rsidRPr="008F17A2">
        <w:rPr>
          <w:sz w:val="24"/>
        </w:rPr>
        <w:t>que</w:t>
      </w:r>
      <w:r w:rsidRPr="008F17A2">
        <w:rPr>
          <w:sz w:val="24"/>
        </w:rPr>
        <w:t xml:space="preserve"> en teoría pueden </w:t>
      </w:r>
      <w:r w:rsidR="00654697" w:rsidRPr="008F17A2">
        <w:rPr>
          <w:sz w:val="24"/>
        </w:rPr>
        <w:t>generar</w:t>
      </w:r>
      <w:r w:rsidRPr="008F17A2">
        <w:rPr>
          <w:sz w:val="24"/>
        </w:rPr>
        <w:t xml:space="preserve"> consecuencias </w:t>
      </w:r>
      <w:r w:rsidR="00654697" w:rsidRPr="008F17A2">
        <w:rPr>
          <w:sz w:val="24"/>
        </w:rPr>
        <w:t>en</w:t>
      </w:r>
      <w:r w:rsidRPr="008F17A2">
        <w:rPr>
          <w:sz w:val="24"/>
        </w:rPr>
        <w:t xml:space="preserve"> la localización de la IED (tal es el caso </w:t>
      </w:r>
      <w:r w:rsidR="00654697" w:rsidRPr="008F17A2">
        <w:rPr>
          <w:sz w:val="24"/>
        </w:rPr>
        <w:t>de</w:t>
      </w:r>
      <w:r w:rsidRPr="008F17A2">
        <w:rPr>
          <w:sz w:val="24"/>
        </w:rPr>
        <w:t xml:space="preserve"> la región de la frontera después de la implementación del TLCAN en 1994).  </w:t>
      </w:r>
    </w:p>
    <w:p w:rsidR="00E8052F" w:rsidRPr="008F17A2" w:rsidRDefault="00E8052F" w:rsidP="008F17A2">
      <w:pPr>
        <w:pStyle w:val="Sinespaciado"/>
        <w:spacing w:line="360" w:lineRule="auto"/>
        <w:jc w:val="both"/>
        <w:rPr>
          <w:sz w:val="24"/>
        </w:rPr>
      </w:pPr>
    </w:p>
    <w:p w:rsidR="00E8052F" w:rsidRPr="008F17A2" w:rsidRDefault="00E8052F" w:rsidP="008F17A2">
      <w:pPr>
        <w:pStyle w:val="Sinespaciado"/>
        <w:spacing w:line="360" w:lineRule="auto"/>
        <w:jc w:val="both"/>
        <w:rPr>
          <w:sz w:val="24"/>
        </w:rPr>
      </w:pPr>
      <w:r w:rsidRPr="008F17A2">
        <w:rPr>
          <w:sz w:val="24"/>
        </w:rPr>
        <w:t xml:space="preserve">Políticamente, </w:t>
      </w:r>
      <w:r w:rsidR="00654697" w:rsidRPr="008F17A2">
        <w:rPr>
          <w:sz w:val="24"/>
        </w:rPr>
        <w:t>1</w:t>
      </w:r>
      <w:r w:rsidRPr="008F17A2">
        <w:rPr>
          <w:sz w:val="24"/>
        </w:rPr>
        <w:t>999 prece</w:t>
      </w:r>
      <w:r w:rsidR="00654697" w:rsidRPr="008F17A2">
        <w:rPr>
          <w:sz w:val="24"/>
        </w:rPr>
        <w:t>de e</w:t>
      </w:r>
      <w:r w:rsidRPr="008F17A2">
        <w:rPr>
          <w:sz w:val="24"/>
        </w:rPr>
        <w:t xml:space="preserve">l parteaguas </w:t>
      </w:r>
      <w:r w:rsidR="00654697" w:rsidRPr="008F17A2">
        <w:rPr>
          <w:sz w:val="24"/>
        </w:rPr>
        <w:t xml:space="preserve">después </w:t>
      </w:r>
      <w:r w:rsidRPr="008F17A2">
        <w:rPr>
          <w:sz w:val="24"/>
        </w:rPr>
        <w:t xml:space="preserve">de 70 años del PRI en </w:t>
      </w:r>
      <w:r w:rsidR="00654697" w:rsidRPr="008F17A2">
        <w:rPr>
          <w:sz w:val="24"/>
        </w:rPr>
        <w:t>el poder</w:t>
      </w:r>
      <w:r w:rsidRPr="008F17A2">
        <w:rPr>
          <w:sz w:val="24"/>
        </w:rPr>
        <w:t xml:space="preserve">, </w:t>
      </w:r>
      <w:r w:rsidR="00654697" w:rsidRPr="008F17A2">
        <w:rPr>
          <w:sz w:val="24"/>
        </w:rPr>
        <w:t>que cede</w:t>
      </w:r>
      <w:r w:rsidRPr="008F17A2">
        <w:rPr>
          <w:sz w:val="24"/>
        </w:rPr>
        <w:t xml:space="preserve"> al PAN por primera vez, poniendo fin a su </w:t>
      </w:r>
      <w:r w:rsidR="00654697" w:rsidRPr="008F17A2">
        <w:rPr>
          <w:sz w:val="24"/>
        </w:rPr>
        <w:t>hegemonía en</w:t>
      </w:r>
      <w:r w:rsidRPr="008F17A2">
        <w:rPr>
          <w:sz w:val="24"/>
        </w:rPr>
        <w:t xml:space="preserve"> la política del país. A su vez, se observa una mayor descentralización fiscal y política. </w:t>
      </w:r>
    </w:p>
    <w:p w:rsidR="00307CB8" w:rsidRPr="008F17A2" w:rsidRDefault="00307CB8" w:rsidP="008F17A2">
      <w:pPr>
        <w:pStyle w:val="Sinespaciado"/>
        <w:spacing w:line="360" w:lineRule="auto"/>
        <w:jc w:val="both"/>
        <w:rPr>
          <w:sz w:val="24"/>
        </w:rPr>
      </w:pPr>
    </w:p>
    <w:p w:rsidR="00307CB8" w:rsidRPr="008F17A2" w:rsidRDefault="00D51F1C" w:rsidP="008F17A2">
      <w:pPr>
        <w:pStyle w:val="Sinespaciado"/>
        <w:spacing w:line="360" w:lineRule="auto"/>
        <w:jc w:val="both"/>
        <w:rPr>
          <w:sz w:val="24"/>
        </w:rPr>
      </w:pPr>
      <w:r w:rsidRPr="008F17A2">
        <w:rPr>
          <w:sz w:val="24"/>
        </w:rPr>
        <w:t>La serie finaliza en 2013</w:t>
      </w:r>
      <w:r w:rsidR="00307CB8" w:rsidRPr="008F17A2">
        <w:rPr>
          <w:sz w:val="24"/>
        </w:rPr>
        <w:t xml:space="preserve">, año </w:t>
      </w:r>
      <w:r w:rsidR="004D1B9E" w:rsidRPr="008F17A2">
        <w:rPr>
          <w:sz w:val="24"/>
        </w:rPr>
        <w:t>en el que se suscita</w:t>
      </w:r>
      <w:r w:rsidR="00307CB8" w:rsidRPr="008F17A2">
        <w:rPr>
          <w:sz w:val="24"/>
        </w:rPr>
        <w:t xml:space="preserve"> una serie de acontecimientos internacionales, principalmente crisis económicas y financieras propiciadas en Estados Unidos, país con el que México atrae más de</w:t>
      </w:r>
      <w:r w:rsidR="00A12600" w:rsidRPr="008F17A2">
        <w:rPr>
          <w:sz w:val="24"/>
        </w:rPr>
        <w:t>l</w:t>
      </w:r>
      <w:r w:rsidR="00307CB8" w:rsidRPr="008F17A2">
        <w:rPr>
          <w:sz w:val="24"/>
        </w:rPr>
        <w:t xml:space="preserve"> 50</w:t>
      </w:r>
      <w:r w:rsidR="00A12600" w:rsidRPr="008F17A2">
        <w:rPr>
          <w:sz w:val="24"/>
        </w:rPr>
        <w:t xml:space="preserve"> </w:t>
      </w:r>
      <w:r w:rsidR="00307CB8" w:rsidRPr="008F17A2">
        <w:rPr>
          <w:sz w:val="24"/>
        </w:rPr>
        <w:t xml:space="preserve">% de la IED. Además, es el último año en el que se encontraron datos disponibles al momento de la búsqueda de información. La tabla 1 del apéndice muestra las variables y su fuente, así como su posible influencia sobre la IED. </w:t>
      </w:r>
    </w:p>
    <w:p w:rsidR="00307CB8" w:rsidRPr="008F17A2" w:rsidRDefault="00307CB8" w:rsidP="008F17A2">
      <w:pPr>
        <w:pStyle w:val="Sinespaciado"/>
        <w:spacing w:line="360" w:lineRule="auto"/>
        <w:jc w:val="both"/>
        <w:rPr>
          <w:sz w:val="24"/>
        </w:rPr>
      </w:pPr>
    </w:p>
    <w:p w:rsidR="00307CB8" w:rsidRPr="008F17A2" w:rsidRDefault="00307CB8" w:rsidP="008F17A2">
      <w:pPr>
        <w:spacing w:line="360" w:lineRule="auto"/>
        <w:jc w:val="both"/>
        <w:rPr>
          <w:sz w:val="24"/>
        </w:rPr>
      </w:pPr>
      <w:r w:rsidRPr="008F17A2">
        <w:t>S</w:t>
      </w:r>
      <w:r w:rsidRPr="008F17A2">
        <w:rPr>
          <w:sz w:val="24"/>
        </w:rPr>
        <w:t xml:space="preserve">e efectúan pruebas de regresión con el término constante, efectos fijos y aleatorios de la IED como variable dependiente, en función de las variables independientes o explicativas y se obtienen seis modelos que incluyen las variables base del modelo y se incorporan: los efectos DF, </w:t>
      </w:r>
      <w:r w:rsidR="004D1B9E" w:rsidRPr="008F17A2">
        <w:rPr>
          <w:sz w:val="24"/>
        </w:rPr>
        <w:t>f</w:t>
      </w:r>
      <w:r w:rsidRPr="008F17A2">
        <w:rPr>
          <w:sz w:val="24"/>
        </w:rPr>
        <w:t xml:space="preserve">rontera, </w:t>
      </w:r>
      <w:r w:rsidR="004D1B9E" w:rsidRPr="008F17A2">
        <w:rPr>
          <w:sz w:val="24"/>
        </w:rPr>
        <w:t>p</w:t>
      </w:r>
      <w:r w:rsidRPr="008F17A2">
        <w:rPr>
          <w:sz w:val="24"/>
        </w:rPr>
        <w:t xml:space="preserve">uertos marítimos, margen de gobernabilidad, </w:t>
      </w:r>
      <w:r w:rsidR="004D1B9E" w:rsidRPr="008F17A2">
        <w:rPr>
          <w:sz w:val="24"/>
        </w:rPr>
        <w:t>p</w:t>
      </w:r>
      <w:r w:rsidRPr="008F17A2">
        <w:rPr>
          <w:sz w:val="24"/>
        </w:rPr>
        <w:t xml:space="preserve">roporción de </w:t>
      </w:r>
      <w:r w:rsidR="004D1B9E" w:rsidRPr="008F17A2">
        <w:rPr>
          <w:sz w:val="24"/>
        </w:rPr>
        <w:t>c</w:t>
      </w:r>
      <w:r w:rsidRPr="008F17A2">
        <w:rPr>
          <w:sz w:val="24"/>
        </w:rPr>
        <w:t xml:space="preserve">oncentración de legislatura, </w:t>
      </w:r>
      <w:r w:rsidR="004D1B9E" w:rsidRPr="008F17A2">
        <w:rPr>
          <w:sz w:val="24"/>
        </w:rPr>
        <w:t>d</w:t>
      </w:r>
      <w:r w:rsidRPr="008F17A2">
        <w:rPr>
          <w:sz w:val="24"/>
        </w:rPr>
        <w:t xml:space="preserve">elitos, tasa de delincuencia, </w:t>
      </w:r>
      <w:r w:rsidR="004D1B9E" w:rsidRPr="008F17A2">
        <w:rPr>
          <w:sz w:val="24"/>
        </w:rPr>
        <w:t>h</w:t>
      </w:r>
      <w:r w:rsidRPr="008F17A2">
        <w:rPr>
          <w:sz w:val="24"/>
        </w:rPr>
        <w:t xml:space="preserve">uelgas, </w:t>
      </w:r>
      <w:r w:rsidR="004D1B9E" w:rsidRPr="008F17A2">
        <w:rPr>
          <w:sz w:val="24"/>
        </w:rPr>
        <w:t>í</w:t>
      </w:r>
      <w:r w:rsidRPr="008F17A2">
        <w:rPr>
          <w:sz w:val="24"/>
        </w:rPr>
        <w:t xml:space="preserve">ndice de corrupción, </w:t>
      </w:r>
      <w:r w:rsidR="004D1B9E" w:rsidRPr="008F17A2">
        <w:rPr>
          <w:sz w:val="24"/>
        </w:rPr>
        <w:t>e</w:t>
      </w:r>
      <w:r w:rsidRPr="008F17A2">
        <w:rPr>
          <w:sz w:val="24"/>
        </w:rPr>
        <w:t xml:space="preserve">scala de corrupción </w:t>
      </w:r>
      <w:r w:rsidR="004D1B9E" w:rsidRPr="008F17A2">
        <w:rPr>
          <w:sz w:val="24"/>
        </w:rPr>
        <w:t>e í</w:t>
      </w:r>
      <w:r w:rsidRPr="008F17A2">
        <w:rPr>
          <w:sz w:val="24"/>
        </w:rPr>
        <w:t>ndice de eficiencia y efectividad</w:t>
      </w:r>
      <w:r w:rsidR="006F2BE4" w:rsidRPr="008F17A2">
        <w:rPr>
          <w:sz w:val="24"/>
        </w:rPr>
        <w:t xml:space="preserve"> (ver tabla 2)</w:t>
      </w:r>
      <w:r w:rsidRPr="008F17A2">
        <w:rPr>
          <w:sz w:val="24"/>
        </w:rPr>
        <w:t>.</w:t>
      </w:r>
    </w:p>
    <w:p w:rsidR="00307CB8" w:rsidRPr="00DE7E31" w:rsidRDefault="00307CB8" w:rsidP="008F17A2">
      <w:pPr>
        <w:autoSpaceDE w:val="0"/>
        <w:autoSpaceDN w:val="0"/>
        <w:adjustRightInd w:val="0"/>
        <w:spacing w:line="360" w:lineRule="auto"/>
        <w:jc w:val="both"/>
        <w:rPr>
          <w:rFonts w:ascii="Arial" w:hAnsi="Arial" w:cs="Arial"/>
          <w:sz w:val="24"/>
        </w:rPr>
      </w:pPr>
      <w:r w:rsidRPr="008F17A2">
        <w:rPr>
          <w:sz w:val="24"/>
        </w:rPr>
        <w:t>Para la estimación de la ecuación se utiliza el paquete econométrico econometrics views versión 8.0, ya que presenta buena consistencia en el cálculo de modelos de panel con efectos fijos y/o aleatorios.</w:t>
      </w:r>
      <w:r w:rsidRPr="00DE7E31">
        <w:rPr>
          <w:rFonts w:ascii="Arial" w:hAnsi="Arial" w:cs="Arial"/>
          <w:sz w:val="24"/>
        </w:rPr>
        <w:t xml:space="preserve"> </w:t>
      </w:r>
    </w:p>
    <w:p w:rsidR="008F17A2" w:rsidRDefault="008F17A2" w:rsidP="006C2E9D">
      <w:pPr>
        <w:spacing w:line="480" w:lineRule="auto"/>
        <w:jc w:val="both"/>
        <w:rPr>
          <w:rFonts w:ascii="Arial" w:hAnsi="Arial" w:cs="Arial"/>
          <w:b/>
          <w:sz w:val="24"/>
        </w:rPr>
      </w:pPr>
    </w:p>
    <w:p w:rsidR="00307CB8" w:rsidRPr="00DE7E31" w:rsidRDefault="00620A23" w:rsidP="006C2E9D">
      <w:pPr>
        <w:spacing w:line="480" w:lineRule="auto"/>
        <w:jc w:val="both"/>
        <w:rPr>
          <w:rFonts w:ascii="Arial" w:hAnsi="Arial" w:cs="Arial"/>
          <w:b/>
          <w:sz w:val="24"/>
        </w:rPr>
      </w:pPr>
      <w:r w:rsidRPr="00DE7E31">
        <w:rPr>
          <w:rFonts w:ascii="Arial" w:hAnsi="Arial" w:cs="Arial"/>
          <w:b/>
          <w:sz w:val="24"/>
        </w:rPr>
        <w:t xml:space="preserve">RESULTADOS </w:t>
      </w:r>
    </w:p>
    <w:p w:rsidR="00307CB8" w:rsidRPr="008F17A2" w:rsidRDefault="00307CB8" w:rsidP="008F17A2">
      <w:pPr>
        <w:pStyle w:val="Sinespaciado"/>
        <w:spacing w:line="360" w:lineRule="auto"/>
        <w:jc w:val="both"/>
        <w:rPr>
          <w:sz w:val="24"/>
        </w:rPr>
      </w:pPr>
      <w:r w:rsidRPr="008F17A2">
        <w:rPr>
          <w:sz w:val="24"/>
        </w:rPr>
        <w:t>En el modelo 1</w:t>
      </w:r>
      <w:r w:rsidR="00D51F1C" w:rsidRPr="008F17A2">
        <w:rPr>
          <w:sz w:val="24"/>
        </w:rPr>
        <w:t xml:space="preserve"> </w:t>
      </w:r>
      <w:r w:rsidRPr="008F17A2">
        <w:rPr>
          <w:sz w:val="24"/>
        </w:rPr>
        <w:t>(que incluye las variables IED, PIB y salarios) de efectos aleatorios no se puede comprobar en su totalidad la influencia de los salarios, debido a que el coeficiente de determinación no es confiable a ninguno de los tres nivel de significancia</w:t>
      </w:r>
      <w:r w:rsidR="00B36480" w:rsidRPr="008F17A2">
        <w:rPr>
          <w:sz w:val="24"/>
        </w:rPr>
        <w:t>.</w:t>
      </w:r>
      <w:r w:rsidRPr="008F17A2">
        <w:footnoteReference w:id="1"/>
      </w:r>
      <w:r w:rsidRPr="008F17A2">
        <w:rPr>
          <w:sz w:val="24"/>
        </w:rPr>
        <w:t xml:space="preserve"> Una de las diferencias entre estos dos modelos es que el AR es capaz de identificar si esta influencia es directa o inversa. </w:t>
      </w:r>
    </w:p>
    <w:p w:rsidR="008F17A2" w:rsidRDefault="008F17A2" w:rsidP="008F17A2">
      <w:pPr>
        <w:pStyle w:val="Sinespaciado"/>
        <w:spacing w:line="360" w:lineRule="auto"/>
        <w:jc w:val="both"/>
        <w:rPr>
          <w:sz w:val="24"/>
        </w:rPr>
      </w:pPr>
    </w:p>
    <w:p w:rsidR="00307CB8" w:rsidRPr="008F17A2" w:rsidRDefault="00307CB8" w:rsidP="008F17A2">
      <w:pPr>
        <w:pStyle w:val="Sinespaciado"/>
        <w:spacing w:line="360" w:lineRule="auto"/>
        <w:jc w:val="both"/>
        <w:rPr>
          <w:sz w:val="24"/>
        </w:rPr>
      </w:pPr>
      <w:r w:rsidRPr="008F17A2">
        <w:rPr>
          <w:sz w:val="24"/>
        </w:rPr>
        <w:lastRenderedPageBreak/>
        <w:t xml:space="preserve">El modelo 2 con efectos aleatorios comprueba la influencia positiva de las variables PIB, </w:t>
      </w:r>
      <w:r w:rsidR="00B36480" w:rsidRPr="008F17A2">
        <w:rPr>
          <w:sz w:val="24"/>
        </w:rPr>
        <w:t xml:space="preserve">la </w:t>
      </w:r>
      <w:r w:rsidRPr="008F17A2">
        <w:rPr>
          <w:sz w:val="24"/>
        </w:rPr>
        <w:t xml:space="preserve">densidad telefónica y </w:t>
      </w:r>
      <w:r w:rsidR="00B36480" w:rsidRPr="008F17A2">
        <w:rPr>
          <w:sz w:val="24"/>
        </w:rPr>
        <w:t xml:space="preserve">la </w:t>
      </w:r>
      <w:r w:rsidRPr="008F17A2">
        <w:rPr>
          <w:sz w:val="24"/>
        </w:rPr>
        <w:t>negativa de los salarios sobre la IED a un nivel de confianza de 99</w:t>
      </w:r>
      <w:r w:rsidR="00B36480" w:rsidRPr="008F17A2">
        <w:rPr>
          <w:sz w:val="24"/>
        </w:rPr>
        <w:t xml:space="preserve"> </w:t>
      </w:r>
      <w:r w:rsidRPr="008F17A2">
        <w:rPr>
          <w:sz w:val="24"/>
        </w:rPr>
        <w:t xml:space="preserve">%. </w:t>
      </w:r>
    </w:p>
    <w:p w:rsidR="008F17A2" w:rsidRDefault="008F17A2" w:rsidP="008F17A2">
      <w:pPr>
        <w:pStyle w:val="Sinespaciado"/>
        <w:spacing w:line="360" w:lineRule="auto"/>
        <w:jc w:val="both"/>
        <w:rPr>
          <w:sz w:val="24"/>
        </w:rPr>
      </w:pPr>
    </w:p>
    <w:p w:rsidR="00307CB8" w:rsidRPr="008F17A2" w:rsidRDefault="00307CB8" w:rsidP="008F17A2">
      <w:pPr>
        <w:pStyle w:val="Sinespaciado"/>
        <w:spacing w:line="360" w:lineRule="auto"/>
        <w:jc w:val="both"/>
        <w:rPr>
          <w:sz w:val="24"/>
        </w:rPr>
      </w:pPr>
      <w:r w:rsidRPr="008F17A2">
        <w:rPr>
          <w:sz w:val="24"/>
        </w:rPr>
        <w:t>En el modelo 3, además de las variables anteriores, se incluyen las variables ficticias efecto DF, efecto frontera y efecto puertos. Los resultados muestran que no se pudo comprobar la influencia del DF sobre la IED</w:t>
      </w:r>
      <w:r w:rsidR="00AB0974" w:rsidRPr="008F17A2">
        <w:rPr>
          <w:sz w:val="24"/>
        </w:rPr>
        <w:t>;</w:t>
      </w:r>
      <w:r w:rsidRPr="008F17A2">
        <w:rPr>
          <w:sz w:val="24"/>
        </w:rPr>
        <w:t xml:space="preserve"> además, a un nivel de confianza de 95</w:t>
      </w:r>
      <w:r w:rsidR="00AB0974" w:rsidRPr="008F17A2">
        <w:rPr>
          <w:sz w:val="24"/>
        </w:rPr>
        <w:t xml:space="preserve"> </w:t>
      </w:r>
      <w:r w:rsidRPr="008F17A2">
        <w:rPr>
          <w:sz w:val="24"/>
        </w:rPr>
        <w:t xml:space="preserve">%, se comprueba la influencia del efecto frontera sobre la IED y de manera inversa lo hace el efecto puertos. Por lo que, a excepción de las variables consideradas en el modelo 2, no existen coincidencias sustanciales entre ambos modelos. </w:t>
      </w:r>
    </w:p>
    <w:p w:rsidR="008F17A2" w:rsidRDefault="008F17A2" w:rsidP="008F17A2">
      <w:pPr>
        <w:pStyle w:val="Sinespaciado"/>
        <w:spacing w:line="360" w:lineRule="auto"/>
        <w:jc w:val="both"/>
        <w:rPr>
          <w:sz w:val="24"/>
        </w:rPr>
      </w:pPr>
    </w:p>
    <w:p w:rsidR="00307CB8" w:rsidRPr="008F17A2" w:rsidRDefault="00307CB8" w:rsidP="008F17A2">
      <w:pPr>
        <w:pStyle w:val="Sinespaciado"/>
        <w:spacing w:line="360" w:lineRule="auto"/>
        <w:jc w:val="both"/>
        <w:rPr>
          <w:sz w:val="24"/>
        </w:rPr>
      </w:pPr>
      <w:r w:rsidRPr="008F17A2">
        <w:rPr>
          <w:sz w:val="24"/>
        </w:rPr>
        <w:t>En el modelo 4 se agregan las variables de corte político</w:t>
      </w:r>
      <w:r w:rsidR="00AB0974" w:rsidRPr="008F17A2">
        <w:rPr>
          <w:sz w:val="24"/>
        </w:rPr>
        <w:t>:</w:t>
      </w:r>
      <w:r w:rsidRPr="008F17A2">
        <w:rPr>
          <w:sz w:val="24"/>
        </w:rPr>
        <w:t xml:space="preserve"> margen de gobernanza y proporción de concentración de legislatura</w:t>
      </w:r>
      <w:r w:rsidR="00AB0974" w:rsidRPr="008F17A2">
        <w:rPr>
          <w:sz w:val="24"/>
        </w:rPr>
        <w:t>;</w:t>
      </w:r>
      <w:r w:rsidRPr="008F17A2">
        <w:rPr>
          <w:sz w:val="24"/>
        </w:rPr>
        <w:t xml:space="preserve"> no obstante, no se prueba ninguna influencia de estas variables sobre la IED.   </w:t>
      </w:r>
    </w:p>
    <w:p w:rsidR="008F17A2" w:rsidRDefault="008F17A2" w:rsidP="008F17A2">
      <w:pPr>
        <w:pStyle w:val="Sinespaciado"/>
        <w:spacing w:line="360" w:lineRule="auto"/>
        <w:jc w:val="both"/>
        <w:rPr>
          <w:sz w:val="24"/>
        </w:rPr>
      </w:pPr>
    </w:p>
    <w:p w:rsidR="00307CB8" w:rsidRPr="008F17A2" w:rsidRDefault="00307CB8" w:rsidP="008F17A2">
      <w:pPr>
        <w:pStyle w:val="Sinespaciado"/>
        <w:spacing w:line="360" w:lineRule="auto"/>
        <w:jc w:val="both"/>
        <w:rPr>
          <w:sz w:val="24"/>
        </w:rPr>
      </w:pPr>
      <w:r w:rsidRPr="008F17A2">
        <w:rPr>
          <w:sz w:val="24"/>
        </w:rPr>
        <w:t xml:space="preserve">En el modelo 5 se incluyen variables relacionadas con la inseguridad e inestabilidad, delitos, tasa de delincuencia y huelgas, pero no se comprueba la influencia de ninguna de las tres variables, ya que el coeficiente de determinación es de cero, aunado a ello los valores de las variables delitos y huelgas carecen de confianza significativa. </w:t>
      </w:r>
    </w:p>
    <w:p w:rsidR="008F17A2" w:rsidRDefault="008F17A2" w:rsidP="008F17A2">
      <w:pPr>
        <w:pStyle w:val="Sinespaciado"/>
        <w:spacing w:line="360" w:lineRule="auto"/>
        <w:jc w:val="both"/>
        <w:rPr>
          <w:sz w:val="24"/>
        </w:rPr>
      </w:pPr>
    </w:p>
    <w:p w:rsidR="00307CB8" w:rsidRPr="008F17A2" w:rsidRDefault="00307CB8" w:rsidP="008F17A2">
      <w:pPr>
        <w:pStyle w:val="Sinespaciado"/>
        <w:spacing w:line="360" w:lineRule="auto"/>
        <w:jc w:val="both"/>
        <w:rPr>
          <w:sz w:val="24"/>
        </w:rPr>
      </w:pPr>
      <w:r w:rsidRPr="008F17A2">
        <w:rPr>
          <w:sz w:val="24"/>
        </w:rPr>
        <w:t xml:space="preserve">En el modelo 6 se agregan variables relacionadas </w:t>
      </w:r>
      <w:r w:rsidR="003E3112" w:rsidRPr="008F17A2">
        <w:rPr>
          <w:sz w:val="24"/>
        </w:rPr>
        <w:t>con</w:t>
      </w:r>
      <w:r w:rsidRPr="008F17A2">
        <w:rPr>
          <w:sz w:val="24"/>
        </w:rPr>
        <w:t xml:space="preserve"> aspectos administrativos. La escala de corrupción muestra una influencia inversa a la IED al 90</w:t>
      </w:r>
      <w:r w:rsidR="003E3112" w:rsidRPr="008F17A2">
        <w:rPr>
          <w:sz w:val="24"/>
        </w:rPr>
        <w:t xml:space="preserve"> </w:t>
      </w:r>
      <w:r w:rsidRPr="008F17A2">
        <w:rPr>
          <w:sz w:val="24"/>
        </w:rPr>
        <w:t>% de confianza, aunque el índice de corrupción muestra una influencia directa a un nivel de confianza del 99</w:t>
      </w:r>
      <w:r w:rsidR="003E3112" w:rsidRPr="008F17A2">
        <w:rPr>
          <w:sz w:val="24"/>
        </w:rPr>
        <w:t xml:space="preserve"> </w:t>
      </w:r>
      <w:r w:rsidRPr="008F17A2">
        <w:rPr>
          <w:sz w:val="24"/>
        </w:rPr>
        <w:t>%</w:t>
      </w:r>
      <w:r w:rsidR="003E3112" w:rsidRPr="008F17A2">
        <w:rPr>
          <w:sz w:val="24"/>
        </w:rPr>
        <w:t>;</w:t>
      </w:r>
      <w:r w:rsidRPr="008F17A2">
        <w:rPr>
          <w:sz w:val="24"/>
        </w:rPr>
        <w:t xml:space="preserve"> por el contrario, se esperaría que a mayores índices de corrupción, se generaran menores niveles de IED. </w:t>
      </w:r>
    </w:p>
    <w:p w:rsidR="008F17A2" w:rsidRDefault="008F17A2" w:rsidP="008F17A2">
      <w:pPr>
        <w:pStyle w:val="Sinespaciado"/>
        <w:spacing w:line="360" w:lineRule="auto"/>
        <w:jc w:val="both"/>
        <w:rPr>
          <w:sz w:val="24"/>
        </w:rPr>
      </w:pPr>
    </w:p>
    <w:p w:rsidR="00307CB8" w:rsidRPr="008F17A2" w:rsidRDefault="00307CB8" w:rsidP="008F17A2">
      <w:pPr>
        <w:pStyle w:val="Sinespaciado"/>
        <w:spacing w:line="360" w:lineRule="auto"/>
        <w:jc w:val="both"/>
        <w:rPr>
          <w:sz w:val="24"/>
        </w:rPr>
      </w:pPr>
      <w:r w:rsidRPr="008F17A2">
        <w:rPr>
          <w:sz w:val="24"/>
        </w:rPr>
        <w:t xml:space="preserve">De acuerdo a los resultados de los seis modelos aplicados se interpreta que el modelo 2, que incluye las variables IED, PIB, salarios y densidad telefónica, ajusta de mejor manera, demostrando así que </w:t>
      </w:r>
      <w:r w:rsidR="003E3112" w:rsidRPr="008F17A2">
        <w:rPr>
          <w:sz w:val="24"/>
        </w:rPr>
        <w:t>según e</w:t>
      </w:r>
      <w:r w:rsidRPr="008F17A2">
        <w:rPr>
          <w:sz w:val="24"/>
        </w:rPr>
        <w:t xml:space="preserve">l presente estudio, los principales factores de influencia sobre la IED son el tamaño de mercado, los costos de producción y la infraestructura. </w:t>
      </w:r>
    </w:p>
    <w:p w:rsidR="008F17A2" w:rsidRDefault="008F17A2" w:rsidP="008F17A2">
      <w:pPr>
        <w:pStyle w:val="Sinespaciado"/>
        <w:spacing w:line="360" w:lineRule="auto"/>
        <w:jc w:val="both"/>
        <w:rPr>
          <w:sz w:val="24"/>
        </w:rPr>
      </w:pPr>
    </w:p>
    <w:p w:rsidR="00307CB8" w:rsidRPr="008F17A2" w:rsidRDefault="00307CB8" w:rsidP="008F17A2">
      <w:pPr>
        <w:pStyle w:val="Sinespaciado"/>
        <w:spacing w:line="360" w:lineRule="auto"/>
        <w:jc w:val="both"/>
        <w:rPr>
          <w:sz w:val="24"/>
        </w:rPr>
      </w:pPr>
      <w:r w:rsidRPr="008F17A2">
        <w:rPr>
          <w:sz w:val="24"/>
        </w:rPr>
        <w:t xml:space="preserve">En la siguiente tabla se resumen los resultados de cada uno de los modelos obtenidos con el objetivo de compararlos entre </w:t>
      </w:r>
      <w:r w:rsidR="003E3112" w:rsidRPr="008F17A2">
        <w:rPr>
          <w:sz w:val="24"/>
        </w:rPr>
        <w:t>sí</w:t>
      </w:r>
      <w:r w:rsidRPr="008F17A2">
        <w:rPr>
          <w:sz w:val="24"/>
        </w:rPr>
        <w:t xml:space="preserve">. Se presentan las variables que fueron utilizadas para cada uno de los modelos y </w:t>
      </w:r>
      <w:r w:rsidR="003E3112" w:rsidRPr="008F17A2">
        <w:rPr>
          <w:sz w:val="24"/>
        </w:rPr>
        <w:t xml:space="preserve">el </w:t>
      </w:r>
      <w:r w:rsidRPr="008F17A2">
        <w:rPr>
          <w:sz w:val="24"/>
        </w:rPr>
        <w:t xml:space="preserve">nivel de confianza para determinar la localización de la IED. </w:t>
      </w:r>
    </w:p>
    <w:p w:rsidR="009A686D" w:rsidRPr="008F17A2" w:rsidRDefault="009A686D" w:rsidP="008F17A2">
      <w:pPr>
        <w:pStyle w:val="Sinespaciado"/>
        <w:spacing w:line="360" w:lineRule="auto"/>
        <w:jc w:val="both"/>
        <w:rPr>
          <w:sz w:val="24"/>
        </w:rPr>
      </w:pPr>
      <w:r w:rsidRPr="008F17A2">
        <w:rPr>
          <w:sz w:val="24"/>
        </w:rPr>
        <w:lastRenderedPageBreak/>
        <w:t>Queda claro que el PIB es un factor que influye de manera directa sobre la IED. Esto no solamente se comprueba con los modelos presentados en la presente investigación, muchos estudios empíricos han demostrado tal relación</w:t>
      </w:r>
      <w:r w:rsidR="003E3112" w:rsidRPr="008F17A2">
        <w:rPr>
          <w:sz w:val="24"/>
        </w:rPr>
        <w:t>;</w:t>
      </w:r>
      <w:r w:rsidRPr="008F17A2">
        <w:rPr>
          <w:sz w:val="24"/>
        </w:rPr>
        <w:t xml:space="preserve"> además, los sucesos que han ocurrido a lo largo de la historia del país han demostrado cómo en tiempos de auge económico se atraen mayores flujos de IED, mientras que en tiempos de recesión o estancamiento (caso crisis financiera 1994, recesión económica 2001, 2007 y 2012), la IED tiende a reducirse. </w:t>
      </w:r>
    </w:p>
    <w:p w:rsidR="008F17A2" w:rsidRDefault="008F17A2" w:rsidP="008F17A2">
      <w:pPr>
        <w:pStyle w:val="Sinespaciado"/>
        <w:spacing w:line="360" w:lineRule="auto"/>
        <w:jc w:val="both"/>
        <w:rPr>
          <w:sz w:val="24"/>
        </w:rPr>
      </w:pPr>
    </w:p>
    <w:p w:rsidR="009A686D" w:rsidRPr="008F17A2" w:rsidRDefault="009A686D" w:rsidP="008F17A2">
      <w:pPr>
        <w:pStyle w:val="Sinespaciado"/>
        <w:spacing w:line="360" w:lineRule="auto"/>
        <w:jc w:val="both"/>
        <w:rPr>
          <w:sz w:val="24"/>
        </w:rPr>
      </w:pPr>
      <w:r w:rsidRPr="008F17A2">
        <w:rPr>
          <w:sz w:val="24"/>
        </w:rPr>
        <w:t xml:space="preserve">Siendo el PIB un factor determinante en la influencia de la IED del país, está claro que la cierta inestabilidad de la economía nacional, debido a la vulnerabilidad y dependencia ante los sucesos internacionales, y principalmente de la economía </w:t>
      </w:r>
      <w:r w:rsidR="00AC4FF0" w:rsidRPr="008F17A2">
        <w:rPr>
          <w:sz w:val="24"/>
        </w:rPr>
        <w:t>e</w:t>
      </w:r>
      <w:r w:rsidRPr="008F17A2">
        <w:rPr>
          <w:sz w:val="24"/>
        </w:rPr>
        <w:t>stadounidense, se convierte en una limitante para la atracción de mayor IED.</w:t>
      </w:r>
    </w:p>
    <w:p w:rsidR="008F17A2" w:rsidRDefault="008F17A2" w:rsidP="008F17A2">
      <w:pPr>
        <w:pStyle w:val="Sinespaciado"/>
        <w:spacing w:line="360" w:lineRule="auto"/>
        <w:jc w:val="both"/>
        <w:rPr>
          <w:sz w:val="24"/>
        </w:rPr>
      </w:pPr>
    </w:p>
    <w:p w:rsidR="009A686D" w:rsidRPr="008F17A2" w:rsidRDefault="009A686D" w:rsidP="008F17A2">
      <w:pPr>
        <w:pStyle w:val="Sinespaciado"/>
        <w:spacing w:line="360" w:lineRule="auto"/>
        <w:jc w:val="both"/>
        <w:rPr>
          <w:sz w:val="24"/>
        </w:rPr>
      </w:pPr>
      <w:r w:rsidRPr="008F17A2">
        <w:rPr>
          <w:sz w:val="24"/>
        </w:rPr>
        <w:t xml:space="preserve">Los costos de producción (principalmente los niveles salariales) son un factor que a menudo analizan los inversionistas ante la decisión de localización. </w:t>
      </w:r>
    </w:p>
    <w:p w:rsidR="009A686D" w:rsidRPr="008F17A2" w:rsidRDefault="009A686D" w:rsidP="008F17A2">
      <w:pPr>
        <w:pStyle w:val="Sinespaciado"/>
        <w:spacing w:line="360" w:lineRule="auto"/>
        <w:jc w:val="both"/>
        <w:rPr>
          <w:sz w:val="24"/>
        </w:rPr>
      </w:pPr>
      <w:r w:rsidRPr="008F17A2">
        <w:rPr>
          <w:sz w:val="24"/>
        </w:rPr>
        <w:t xml:space="preserve">El </w:t>
      </w:r>
      <w:r w:rsidR="00AC4FF0" w:rsidRPr="008F17A2">
        <w:rPr>
          <w:sz w:val="24"/>
        </w:rPr>
        <w:t>p</w:t>
      </w:r>
      <w:r w:rsidRPr="008F17A2">
        <w:rPr>
          <w:sz w:val="24"/>
        </w:rPr>
        <w:t xml:space="preserve">romedio de los salarios locales, como un indicador de los costos de producción, se espera que juegue un papel en la determinación de que los </w:t>
      </w:r>
      <w:r w:rsidR="00A340C1" w:rsidRPr="008F17A2">
        <w:rPr>
          <w:sz w:val="24"/>
        </w:rPr>
        <w:t xml:space="preserve">inversores opten por invertir. </w:t>
      </w:r>
    </w:p>
    <w:p w:rsidR="008F17A2" w:rsidRDefault="008F17A2" w:rsidP="008F17A2">
      <w:pPr>
        <w:pStyle w:val="Sinespaciado"/>
        <w:spacing w:line="360" w:lineRule="auto"/>
        <w:jc w:val="both"/>
        <w:rPr>
          <w:sz w:val="24"/>
        </w:rPr>
      </w:pPr>
    </w:p>
    <w:p w:rsidR="00A340C1" w:rsidRPr="008F17A2" w:rsidRDefault="00A340C1" w:rsidP="008F17A2">
      <w:pPr>
        <w:pStyle w:val="Sinespaciado"/>
        <w:spacing w:line="360" w:lineRule="auto"/>
        <w:jc w:val="both"/>
        <w:rPr>
          <w:sz w:val="24"/>
        </w:rPr>
      </w:pPr>
      <w:r w:rsidRPr="008F17A2">
        <w:rPr>
          <w:sz w:val="24"/>
        </w:rPr>
        <w:t xml:space="preserve">México </w:t>
      </w:r>
      <w:r w:rsidR="00521475" w:rsidRPr="008F17A2">
        <w:rPr>
          <w:sz w:val="24"/>
        </w:rPr>
        <w:t>es</w:t>
      </w:r>
      <w:r w:rsidRPr="008F17A2">
        <w:rPr>
          <w:sz w:val="24"/>
        </w:rPr>
        <w:t xml:space="preserve"> considera</w:t>
      </w:r>
      <w:r w:rsidR="00521475" w:rsidRPr="008F17A2">
        <w:rPr>
          <w:sz w:val="24"/>
        </w:rPr>
        <w:t xml:space="preserve">do </w:t>
      </w:r>
      <w:r w:rsidRPr="008F17A2">
        <w:rPr>
          <w:sz w:val="24"/>
        </w:rPr>
        <w:t xml:space="preserve">a nivel América Latina </w:t>
      </w:r>
      <w:r w:rsidR="00AC4FF0" w:rsidRPr="008F17A2">
        <w:rPr>
          <w:sz w:val="24"/>
        </w:rPr>
        <w:t xml:space="preserve">como </w:t>
      </w:r>
      <w:r w:rsidRPr="008F17A2">
        <w:rPr>
          <w:sz w:val="24"/>
        </w:rPr>
        <w:t xml:space="preserve">uno de los principales receptores de IED, </w:t>
      </w:r>
      <w:r w:rsidR="00AC4FF0" w:rsidRPr="008F17A2">
        <w:rPr>
          <w:sz w:val="24"/>
        </w:rPr>
        <w:t>debido</w:t>
      </w:r>
      <w:r w:rsidRPr="008F17A2">
        <w:rPr>
          <w:sz w:val="24"/>
        </w:rPr>
        <w:t xml:space="preserve"> no solamente a que es uno de los países menos inestables de </w:t>
      </w:r>
      <w:r w:rsidR="00AC4FF0" w:rsidRPr="008F17A2">
        <w:rPr>
          <w:sz w:val="24"/>
        </w:rPr>
        <w:t>la</w:t>
      </w:r>
      <w:r w:rsidRPr="008F17A2">
        <w:rPr>
          <w:sz w:val="24"/>
        </w:rPr>
        <w:t xml:space="preserve"> región, sino </w:t>
      </w:r>
      <w:r w:rsidR="00AC4FF0" w:rsidRPr="008F17A2">
        <w:rPr>
          <w:sz w:val="24"/>
        </w:rPr>
        <w:t xml:space="preserve">también </w:t>
      </w:r>
      <w:r w:rsidRPr="008F17A2">
        <w:rPr>
          <w:sz w:val="24"/>
        </w:rPr>
        <w:t>a</w:t>
      </w:r>
      <w:r w:rsidR="00AC4FF0" w:rsidRPr="008F17A2">
        <w:rPr>
          <w:sz w:val="24"/>
        </w:rPr>
        <w:t xml:space="preserve"> su cercanía geog</w:t>
      </w:r>
      <w:r w:rsidRPr="008F17A2">
        <w:rPr>
          <w:sz w:val="24"/>
        </w:rPr>
        <w:t xml:space="preserve">ráfica con el inversor más importante </w:t>
      </w:r>
      <w:r w:rsidR="00521475" w:rsidRPr="008F17A2">
        <w:rPr>
          <w:sz w:val="24"/>
        </w:rPr>
        <w:t>del mundo</w:t>
      </w:r>
      <w:r w:rsidRPr="008F17A2">
        <w:rPr>
          <w:sz w:val="24"/>
        </w:rPr>
        <w:t xml:space="preserve">. </w:t>
      </w:r>
    </w:p>
    <w:p w:rsidR="008F17A2" w:rsidRDefault="00521475" w:rsidP="008F17A2">
      <w:pPr>
        <w:pStyle w:val="Sinespaciado"/>
        <w:spacing w:line="360" w:lineRule="auto"/>
        <w:jc w:val="both"/>
        <w:rPr>
          <w:sz w:val="24"/>
        </w:rPr>
      </w:pPr>
      <w:r w:rsidRPr="008F17A2">
        <w:rPr>
          <w:sz w:val="24"/>
        </w:rPr>
        <w:t>Con</w:t>
      </w:r>
      <w:r w:rsidR="00A340C1" w:rsidRPr="008F17A2">
        <w:rPr>
          <w:sz w:val="24"/>
        </w:rPr>
        <w:t xml:space="preserve"> relación a Estados Unidos y</w:t>
      </w:r>
      <w:r w:rsidRPr="008F17A2">
        <w:rPr>
          <w:sz w:val="24"/>
        </w:rPr>
        <w:t xml:space="preserve"> </w:t>
      </w:r>
      <w:r w:rsidR="00A340C1" w:rsidRPr="008F17A2">
        <w:rPr>
          <w:sz w:val="24"/>
        </w:rPr>
        <w:t xml:space="preserve">muchos otros países, los salarios pagados en México son </w:t>
      </w:r>
      <w:r w:rsidRPr="008F17A2">
        <w:rPr>
          <w:sz w:val="24"/>
        </w:rPr>
        <w:t>muy</w:t>
      </w:r>
      <w:r w:rsidR="00A340C1" w:rsidRPr="008F17A2">
        <w:rPr>
          <w:sz w:val="24"/>
        </w:rPr>
        <w:t xml:space="preserve"> inferiores, razón por la que </w:t>
      </w:r>
      <w:r w:rsidRPr="008F17A2">
        <w:rPr>
          <w:sz w:val="24"/>
        </w:rPr>
        <w:t xml:space="preserve">los </w:t>
      </w:r>
      <w:r w:rsidR="00A340C1" w:rsidRPr="008F17A2">
        <w:rPr>
          <w:sz w:val="24"/>
        </w:rPr>
        <w:t xml:space="preserve">inversionistas deciden localizarse en el país. </w:t>
      </w:r>
    </w:p>
    <w:p w:rsidR="008F17A2" w:rsidRDefault="008F17A2" w:rsidP="008F17A2">
      <w:pPr>
        <w:pStyle w:val="Sinespaciado"/>
        <w:spacing w:line="360" w:lineRule="auto"/>
        <w:jc w:val="both"/>
        <w:rPr>
          <w:sz w:val="24"/>
        </w:rPr>
      </w:pPr>
    </w:p>
    <w:p w:rsidR="00A340C1" w:rsidRPr="00DE7E31" w:rsidRDefault="00A340C1" w:rsidP="008F17A2">
      <w:pPr>
        <w:pStyle w:val="Sinespaciado"/>
        <w:spacing w:line="360" w:lineRule="auto"/>
        <w:jc w:val="both"/>
        <w:rPr>
          <w:rFonts w:ascii="Arial" w:hAnsi="Arial" w:cs="Arial"/>
          <w:sz w:val="24"/>
        </w:rPr>
      </w:pPr>
      <w:r w:rsidRPr="008F17A2">
        <w:rPr>
          <w:sz w:val="24"/>
        </w:rPr>
        <w:t xml:space="preserve">Un ejemplo claro de que los bajos salarios atraen mayor IED es China, </w:t>
      </w:r>
      <w:r w:rsidR="00521475" w:rsidRPr="008F17A2">
        <w:rPr>
          <w:sz w:val="24"/>
        </w:rPr>
        <w:t>la cual</w:t>
      </w:r>
      <w:r w:rsidRPr="008F17A2">
        <w:rPr>
          <w:sz w:val="24"/>
        </w:rPr>
        <w:t xml:space="preserve"> principalmente desde </w:t>
      </w:r>
      <w:r w:rsidR="00521475" w:rsidRPr="008F17A2">
        <w:rPr>
          <w:sz w:val="24"/>
        </w:rPr>
        <w:t>su</w:t>
      </w:r>
      <w:r w:rsidRPr="008F17A2">
        <w:rPr>
          <w:sz w:val="24"/>
        </w:rPr>
        <w:t xml:space="preserve"> entrada a la OMC en 2002, ha implementado políticas y estrategias de atracción de IED (entre otros aspectos, garantizando salarios bajos), convirtiéndose en uno de los principales receptores de IED a nivel mundial.</w:t>
      </w:r>
    </w:p>
    <w:p w:rsidR="00A340C1" w:rsidRPr="00DE7E31" w:rsidRDefault="00A340C1" w:rsidP="006C2E9D">
      <w:pPr>
        <w:spacing w:line="480" w:lineRule="auto"/>
        <w:jc w:val="center"/>
        <w:rPr>
          <w:rFonts w:ascii="Arial" w:hAnsi="Arial" w:cs="Arial"/>
          <w:b/>
          <w:sz w:val="24"/>
        </w:rPr>
        <w:sectPr w:rsidR="00A340C1" w:rsidRPr="00DE7E31" w:rsidSect="008F17A2">
          <w:headerReference w:type="default" r:id="rId8"/>
          <w:footerReference w:type="default" r:id="rId9"/>
          <w:headerReference w:type="first" r:id="rId10"/>
          <w:footerReference w:type="first" r:id="rId11"/>
          <w:pgSz w:w="11907" w:h="16840" w:code="9"/>
          <w:pgMar w:top="1417" w:right="1417" w:bottom="1417" w:left="1701" w:header="709" w:footer="709" w:gutter="0"/>
          <w:cols w:space="708"/>
          <w:titlePg/>
          <w:docGrid w:linePitch="360"/>
        </w:sectPr>
      </w:pPr>
    </w:p>
    <w:tbl>
      <w:tblPr>
        <w:tblW w:w="13882" w:type="dxa"/>
        <w:tblCellMar>
          <w:left w:w="70" w:type="dxa"/>
          <w:right w:w="70" w:type="dxa"/>
        </w:tblCellMar>
        <w:tblLook w:val="04A0" w:firstRow="1" w:lastRow="0" w:firstColumn="1" w:lastColumn="0" w:noHBand="0" w:noVBand="1"/>
      </w:tblPr>
      <w:tblGrid>
        <w:gridCol w:w="2258"/>
        <w:gridCol w:w="1276"/>
        <w:gridCol w:w="1701"/>
        <w:gridCol w:w="992"/>
        <w:gridCol w:w="1276"/>
        <w:gridCol w:w="1418"/>
        <w:gridCol w:w="1842"/>
        <w:gridCol w:w="1701"/>
        <w:gridCol w:w="1418"/>
      </w:tblGrid>
      <w:tr w:rsidR="00307CB8" w:rsidRPr="00012DCE" w:rsidTr="00E54346">
        <w:trPr>
          <w:trHeight w:val="315"/>
        </w:trPr>
        <w:tc>
          <w:tcPr>
            <w:tcW w:w="13882"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07CB8" w:rsidRPr="00012DCE" w:rsidRDefault="00012DCE" w:rsidP="00521475">
            <w:pPr>
              <w:spacing w:after="0" w:line="480" w:lineRule="auto"/>
              <w:jc w:val="center"/>
              <w:rPr>
                <w:rFonts w:ascii="Arial" w:eastAsia="Times New Roman" w:hAnsi="Arial" w:cs="Arial"/>
                <w:b/>
                <w:bCs/>
                <w:spacing w:val="0"/>
                <w:sz w:val="20"/>
                <w:szCs w:val="20"/>
                <w:lang w:eastAsia="es-MX"/>
              </w:rPr>
            </w:pPr>
            <w:r>
              <w:rPr>
                <w:rFonts w:ascii="Arial" w:eastAsia="Times New Roman" w:hAnsi="Arial" w:cs="Arial"/>
                <w:b/>
                <w:bCs/>
                <w:spacing w:val="0"/>
                <w:sz w:val="20"/>
                <w:szCs w:val="20"/>
                <w:lang w:eastAsia="es-MX"/>
              </w:rPr>
              <w:lastRenderedPageBreak/>
              <w:t>Tabla I</w:t>
            </w:r>
            <w:r w:rsidR="00307CB8" w:rsidRPr="00012DCE">
              <w:rPr>
                <w:rFonts w:ascii="Arial" w:eastAsia="Times New Roman" w:hAnsi="Arial" w:cs="Arial"/>
                <w:b/>
                <w:bCs/>
                <w:spacing w:val="0"/>
                <w:sz w:val="20"/>
                <w:szCs w:val="20"/>
                <w:lang w:eastAsia="es-MX"/>
              </w:rPr>
              <w:t>: Modelos de regresión lineal</w:t>
            </w:r>
          </w:p>
        </w:tc>
      </w:tr>
      <w:tr w:rsidR="00307CB8" w:rsidRPr="00012DCE" w:rsidTr="00E54346">
        <w:trPr>
          <w:trHeight w:val="45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Variable dependiente: log IED</w:t>
            </w:r>
          </w:p>
        </w:tc>
        <w:tc>
          <w:tcPr>
            <w:tcW w:w="297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Modelo 1</w:t>
            </w:r>
          </w:p>
          <w:p w:rsidR="009055C3" w:rsidRPr="00012DCE" w:rsidRDefault="009055C3" w:rsidP="006C2E9D">
            <w:pPr>
              <w:spacing w:after="0" w:line="480" w:lineRule="auto"/>
              <w:rPr>
                <w:rFonts w:ascii="Arial" w:eastAsia="Times New Roman" w:hAnsi="Arial" w:cs="Arial"/>
                <w:spacing w:val="0"/>
                <w:sz w:val="20"/>
                <w:szCs w:val="20"/>
                <w:lang w:eastAsia="es-MX"/>
              </w:rPr>
            </w:pPr>
          </w:p>
        </w:tc>
        <w:tc>
          <w:tcPr>
            <w:tcW w:w="2268" w:type="dxa"/>
            <w:gridSpan w:val="2"/>
            <w:tcBorders>
              <w:top w:val="single" w:sz="8" w:space="0" w:color="000000"/>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Modelo 2.</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xml:space="preserve">Modelo 3. </w:t>
            </w:r>
          </w:p>
          <w:p w:rsidR="009055C3" w:rsidRPr="00012DCE" w:rsidRDefault="009055C3" w:rsidP="006C2E9D">
            <w:pPr>
              <w:spacing w:after="0" w:line="480" w:lineRule="auto"/>
              <w:rPr>
                <w:rFonts w:ascii="Arial" w:eastAsia="Times New Roman" w:hAnsi="Arial" w:cs="Arial"/>
                <w:spacing w:val="0"/>
                <w:sz w:val="20"/>
                <w:szCs w:val="20"/>
                <w:lang w:eastAsia="es-MX"/>
              </w:rPr>
            </w:pP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Modelo 4.</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Modelo 5.</w:t>
            </w:r>
          </w:p>
          <w:p w:rsidR="009055C3" w:rsidRPr="00012DCE" w:rsidRDefault="009055C3" w:rsidP="006C2E9D">
            <w:pPr>
              <w:spacing w:after="0" w:line="480" w:lineRule="auto"/>
              <w:rPr>
                <w:rFonts w:ascii="Arial" w:eastAsia="Times New Roman" w:hAnsi="Arial" w:cs="Arial"/>
                <w:spacing w:val="0"/>
                <w:sz w:val="20"/>
                <w:szCs w:val="20"/>
                <w:lang w:eastAsia="es-MX"/>
              </w:rPr>
            </w:pPr>
          </w:p>
        </w:tc>
        <w:tc>
          <w:tcPr>
            <w:tcW w:w="1418" w:type="dxa"/>
            <w:vMerge w:val="restart"/>
            <w:tcBorders>
              <w:top w:val="nil"/>
              <w:left w:val="single" w:sz="8" w:space="0" w:color="000000"/>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Modelo 6.</w:t>
            </w:r>
          </w:p>
          <w:p w:rsidR="009055C3" w:rsidRPr="00012DCE" w:rsidRDefault="009055C3" w:rsidP="006C2E9D">
            <w:pPr>
              <w:spacing w:after="0" w:line="480" w:lineRule="auto"/>
              <w:rPr>
                <w:rFonts w:ascii="Arial" w:eastAsia="Times New Roman" w:hAnsi="Arial" w:cs="Arial"/>
                <w:spacing w:val="0"/>
                <w:sz w:val="20"/>
                <w:szCs w:val="20"/>
                <w:lang w:eastAsia="es-MX"/>
              </w:rPr>
            </w:pP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2977" w:type="dxa"/>
            <w:gridSpan w:val="2"/>
            <w:vMerge/>
            <w:tcBorders>
              <w:top w:val="single" w:sz="8" w:space="0" w:color="000000"/>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2268" w:type="dxa"/>
            <w:gridSpan w:val="2"/>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xml:space="preserve"> </w:t>
            </w: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xml:space="preserve"> </w:t>
            </w: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auto"/>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Efectos fijos</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Efectos aleatorios</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z w:val="20"/>
                <w:szCs w:val="20"/>
                <w:lang w:eastAsia="es-MX"/>
              </w:rPr>
              <w:t>E</w:t>
            </w:r>
            <w:r w:rsidRPr="00012DCE">
              <w:rPr>
                <w:rFonts w:ascii="Arial" w:eastAsia="Times New Roman" w:hAnsi="Arial" w:cs="Arial"/>
                <w:spacing w:val="0"/>
                <w:sz w:val="20"/>
                <w:szCs w:val="20"/>
                <w:lang w:eastAsia="es-MX"/>
              </w:rPr>
              <w:t>fectos fijos</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521475">
            <w:pPr>
              <w:spacing w:after="0" w:line="480" w:lineRule="auto"/>
              <w:rPr>
                <w:rFonts w:ascii="Arial" w:eastAsia="Times New Roman" w:hAnsi="Arial" w:cs="Arial"/>
                <w:spacing w:val="0"/>
                <w:sz w:val="20"/>
                <w:szCs w:val="20"/>
                <w:lang w:eastAsia="es-MX"/>
              </w:rPr>
            </w:pPr>
            <w:r w:rsidRPr="00012DCE">
              <w:rPr>
                <w:rFonts w:ascii="Arial" w:eastAsia="Times New Roman" w:hAnsi="Arial" w:cs="Arial"/>
                <w:sz w:val="20"/>
                <w:szCs w:val="20"/>
                <w:lang w:eastAsia="es-MX"/>
              </w:rPr>
              <w:t>E</w:t>
            </w:r>
            <w:r w:rsidRPr="00012DCE">
              <w:rPr>
                <w:rFonts w:ascii="Arial" w:eastAsia="Times New Roman" w:hAnsi="Arial" w:cs="Arial"/>
                <w:spacing w:val="0"/>
                <w:sz w:val="20"/>
                <w:szCs w:val="20"/>
                <w:lang w:eastAsia="es-MX"/>
              </w:rPr>
              <w:t>fectos aleatorios</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Efectos aleatorios</w:t>
            </w:r>
          </w:p>
        </w:tc>
        <w:tc>
          <w:tcPr>
            <w:tcW w:w="18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Efectos aleatorios</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521475" w:rsidP="00521475">
            <w:pPr>
              <w:spacing w:after="0" w:line="480" w:lineRule="auto"/>
              <w:rPr>
                <w:rFonts w:ascii="Arial" w:eastAsia="Times New Roman" w:hAnsi="Arial" w:cs="Arial"/>
                <w:spacing w:val="0"/>
                <w:sz w:val="20"/>
                <w:szCs w:val="20"/>
                <w:lang w:eastAsia="es-MX"/>
              </w:rPr>
            </w:pPr>
            <w:r>
              <w:rPr>
                <w:rFonts w:ascii="Arial" w:eastAsia="Times New Roman" w:hAnsi="Arial" w:cs="Arial"/>
                <w:spacing w:val="0"/>
                <w:sz w:val="20"/>
                <w:szCs w:val="20"/>
                <w:lang w:eastAsia="es-MX"/>
              </w:rPr>
              <w:t>E</w:t>
            </w:r>
            <w:r w:rsidR="00307CB8" w:rsidRPr="00012DCE">
              <w:rPr>
                <w:rFonts w:ascii="Arial" w:eastAsia="Times New Roman" w:hAnsi="Arial" w:cs="Arial"/>
                <w:spacing w:val="0"/>
                <w:sz w:val="20"/>
                <w:szCs w:val="20"/>
                <w:lang w:eastAsia="es-MX"/>
              </w:rPr>
              <w:t>fectos aleatorios</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Efectos</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xml:space="preserve">aleatorios </w:t>
            </w: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Log PIB</w:t>
            </w:r>
          </w:p>
        </w:tc>
        <w:tc>
          <w:tcPr>
            <w:tcW w:w="1276"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-0.12</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0.66**</w:t>
            </w:r>
          </w:p>
        </w:tc>
        <w:tc>
          <w:tcPr>
            <w:tcW w:w="99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0.084</w:t>
            </w:r>
          </w:p>
        </w:tc>
        <w:tc>
          <w:tcPr>
            <w:tcW w:w="1276"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0.84*</w:t>
            </w:r>
          </w:p>
        </w:tc>
        <w:tc>
          <w:tcPr>
            <w:tcW w:w="1418"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0.72*</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0.81*</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0.36</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0.58*</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(-0.36)</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-2.86</w:t>
            </w:r>
          </w:p>
        </w:tc>
        <w:tc>
          <w:tcPr>
            <w:tcW w:w="99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-0.24</w:t>
            </w:r>
          </w:p>
        </w:tc>
        <w:tc>
          <w:tcPr>
            <w:tcW w:w="1276"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-4.36</w:t>
            </w:r>
          </w:p>
        </w:tc>
        <w:tc>
          <w:tcPr>
            <w:tcW w:w="1418"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-3.67</w:t>
            </w: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-3.83</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-1.26</w:t>
            </w: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-2.63</w:t>
            </w: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Salario</w:t>
            </w:r>
          </w:p>
        </w:tc>
        <w:tc>
          <w:tcPr>
            <w:tcW w:w="1276"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center"/>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center"/>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w:t>
            </w:r>
          </w:p>
        </w:tc>
        <w:tc>
          <w:tcPr>
            <w:tcW w:w="99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center"/>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-0.006</w:t>
            </w:r>
          </w:p>
        </w:tc>
        <w:tc>
          <w:tcPr>
            <w:tcW w:w="1276"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-0.023*</w:t>
            </w:r>
          </w:p>
        </w:tc>
        <w:tc>
          <w:tcPr>
            <w:tcW w:w="1418"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-0.02*</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-0.02*</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-0.01***</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-1.02**</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center"/>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-1.47</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center"/>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(-0.43)</w:t>
            </w:r>
          </w:p>
        </w:tc>
        <w:tc>
          <w:tcPr>
            <w:tcW w:w="99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center"/>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(-0.93)</w:t>
            </w:r>
          </w:p>
        </w:tc>
        <w:tc>
          <w:tcPr>
            <w:tcW w:w="1276"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(-6.06)</w:t>
            </w:r>
          </w:p>
        </w:tc>
        <w:tc>
          <w:tcPr>
            <w:tcW w:w="1418"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(-4.29)</w:t>
            </w: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(-4.31)</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(-1.71)</w:t>
            </w: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(-2.48)</w:t>
            </w: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Densidad Telefónica</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0.07</w:t>
            </w:r>
          </w:p>
        </w:tc>
        <w:tc>
          <w:tcPr>
            <w:tcW w:w="1276"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0.21*</w:t>
            </w:r>
          </w:p>
        </w:tc>
        <w:tc>
          <w:tcPr>
            <w:tcW w:w="1418"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0.19*</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0.20*</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0.15*</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0.19*</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(2.13)**</w:t>
            </w:r>
          </w:p>
        </w:tc>
        <w:tc>
          <w:tcPr>
            <w:tcW w:w="1276"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-7.45</w:t>
            </w:r>
          </w:p>
        </w:tc>
        <w:tc>
          <w:tcPr>
            <w:tcW w:w="1418"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-5.44</w:t>
            </w: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-5.26</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-3.51</w:t>
            </w: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-5.09</w:t>
            </w: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DF</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0.5</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center"/>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0.33</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0.22</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-0.31</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-0.46</w:t>
            </w: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center"/>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-0.29</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-0.19</w:t>
            </w: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-0.28</w:t>
            </w: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Frontera</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0.90**</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0.8</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0.97**</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1.04**</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-2.1</w:t>
            </w: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(1.71)***</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-2.1</w:t>
            </w: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-2.36</w:t>
            </w: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Puertos</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-0.74**</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-0.7</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-0.76***</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-0.70**</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(-2.53)</w:t>
            </w: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(-2.19)</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(-2.49)</w:t>
            </w: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(-2.45)</w:t>
            </w:r>
          </w:p>
        </w:tc>
      </w:tr>
      <w:tr w:rsidR="00307CB8" w:rsidRPr="00012DCE" w:rsidTr="00E54346">
        <w:trPr>
          <w:trHeight w:val="45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lastRenderedPageBreak/>
              <w:t>Margen de gobernabilidad</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-0.001</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(-0.091)</w:t>
            </w: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auto"/>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r>
      <w:tr w:rsidR="00307CB8" w:rsidRPr="00012DCE" w:rsidTr="00E54346">
        <w:trPr>
          <w:trHeight w:val="705"/>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Proporción de  Concentración de legislatura</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439A0"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p w:rsidR="003439A0" w:rsidRPr="00012DCE" w:rsidRDefault="003439A0" w:rsidP="006C2E9D">
            <w:pPr>
              <w:spacing w:line="480" w:lineRule="auto"/>
              <w:rPr>
                <w:rFonts w:ascii="Arial" w:eastAsia="Times New Roman" w:hAnsi="Arial" w:cs="Arial"/>
                <w:sz w:val="20"/>
                <w:szCs w:val="20"/>
                <w:lang w:eastAsia="es-MX"/>
              </w:rPr>
            </w:pPr>
          </w:p>
          <w:p w:rsidR="00307CB8" w:rsidRPr="00012DCE" w:rsidRDefault="00307CB8" w:rsidP="006C2E9D">
            <w:pPr>
              <w:spacing w:line="480" w:lineRule="auto"/>
              <w:rPr>
                <w:rFonts w:ascii="Arial" w:eastAsia="Times New Roman" w:hAnsi="Arial" w:cs="Arial"/>
                <w:sz w:val="20"/>
                <w:szCs w:val="20"/>
                <w:lang w:eastAsia="es-MX"/>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-0.35</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(-0.96)</w:t>
            </w: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auto"/>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xml:space="preserve">Delitos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842" w:type="dxa"/>
            <w:vMerge w:val="restart"/>
            <w:tcBorders>
              <w:top w:val="nil"/>
              <w:left w:val="single" w:sz="8" w:space="0" w:color="000000"/>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w:t>
            </w:r>
          </w:p>
        </w:tc>
        <w:tc>
          <w:tcPr>
            <w:tcW w:w="1418" w:type="dxa"/>
            <w:vMerge w:val="restart"/>
            <w:tcBorders>
              <w:top w:val="nil"/>
              <w:left w:val="single" w:sz="8" w:space="0" w:color="000000"/>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tcBorders>
              <w:top w:val="nil"/>
              <w:left w:val="nil"/>
              <w:bottom w:val="single" w:sz="8" w:space="0" w:color="auto"/>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-0.49</w:t>
            </w:r>
          </w:p>
        </w:tc>
        <w:tc>
          <w:tcPr>
            <w:tcW w:w="1418" w:type="dxa"/>
            <w:vMerge/>
            <w:tcBorders>
              <w:top w:val="nil"/>
              <w:left w:val="single" w:sz="8" w:space="0" w:color="000000"/>
              <w:bottom w:val="single" w:sz="8" w:space="0" w:color="000000"/>
              <w:right w:val="single" w:sz="8" w:space="0" w:color="auto"/>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Tasa de delincuencia</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842" w:type="dxa"/>
            <w:vMerge w:val="restart"/>
            <w:tcBorders>
              <w:top w:val="nil"/>
              <w:left w:val="single" w:sz="8" w:space="0" w:color="000000"/>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0.00**</w:t>
            </w:r>
          </w:p>
        </w:tc>
        <w:tc>
          <w:tcPr>
            <w:tcW w:w="1418" w:type="dxa"/>
            <w:vMerge w:val="restart"/>
            <w:tcBorders>
              <w:top w:val="nil"/>
              <w:left w:val="single" w:sz="8" w:space="0" w:color="000000"/>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-2.02</w:t>
            </w:r>
          </w:p>
        </w:tc>
        <w:tc>
          <w:tcPr>
            <w:tcW w:w="1418" w:type="dxa"/>
            <w:vMerge/>
            <w:tcBorders>
              <w:top w:val="nil"/>
              <w:left w:val="single" w:sz="8" w:space="0" w:color="000000"/>
              <w:bottom w:val="single" w:sz="8" w:space="0" w:color="000000"/>
              <w:right w:val="single" w:sz="8" w:space="0" w:color="auto"/>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Huelgas</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8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w:t>
            </w:r>
          </w:p>
        </w:tc>
        <w:tc>
          <w:tcPr>
            <w:tcW w:w="1418" w:type="dxa"/>
            <w:vMerge w:val="restart"/>
            <w:tcBorders>
              <w:top w:val="nil"/>
              <w:left w:val="single" w:sz="8" w:space="0" w:color="000000"/>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-0.76</w:t>
            </w:r>
          </w:p>
        </w:tc>
        <w:tc>
          <w:tcPr>
            <w:tcW w:w="1418" w:type="dxa"/>
            <w:vMerge/>
            <w:tcBorders>
              <w:top w:val="nil"/>
              <w:left w:val="single" w:sz="8" w:space="0" w:color="000000"/>
              <w:bottom w:val="single" w:sz="8" w:space="0" w:color="000000"/>
              <w:right w:val="single" w:sz="8" w:space="0" w:color="auto"/>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Índice de corrupción</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8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0.14*</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-3.25</w:t>
            </w: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Escala de corrupción</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8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-0.03***</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(-1.72)</w:t>
            </w:r>
          </w:p>
        </w:tc>
      </w:tr>
      <w:tr w:rsidR="00307CB8" w:rsidRPr="00012DCE" w:rsidTr="00E54346">
        <w:trPr>
          <w:trHeight w:val="45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xml:space="preserve">Índice de eficiencia y </w:t>
            </w:r>
            <w:r w:rsidRPr="00012DCE">
              <w:rPr>
                <w:rFonts w:ascii="Arial" w:eastAsia="Times New Roman" w:hAnsi="Arial" w:cs="Arial"/>
                <w:spacing w:val="0"/>
                <w:sz w:val="20"/>
                <w:szCs w:val="20"/>
                <w:lang w:eastAsia="es-MX"/>
              </w:rPr>
              <w:lastRenderedPageBreak/>
              <w:t>efectividad</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lastRenderedPageBreak/>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8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-0.01</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(-0.93)</w:t>
            </w: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C</w:t>
            </w:r>
          </w:p>
        </w:tc>
        <w:tc>
          <w:tcPr>
            <w:tcW w:w="1276"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5.98</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-7.74**</w:t>
            </w:r>
          </w:p>
        </w:tc>
        <w:tc>
          <w:tcPr>
            <w:tcW w:w="99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2.56</w:t>
            </w:r>
          </w:p>
        </w:tc>
        <w:tc>
          <w:tcPr>
            <w:tcW w:w="1276"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-10.62*</w:t>
            </w:r>
          </w:p>
        </w:tc>
        <w:tc>
          <w:tcPr>
            <w:tcW w:w="1418"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-9.66</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-2.81</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-5.52</w:t>
            </w:r>
          </w:p>
        </w:tc>
      </w:tr>
      <w:tr w:rsidR="00307CB8" w:rsidRPr="00012DCE" w:rsidTr="00E54346">
        <w:trPr>
          <w:trHeight w:val="300"/>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-1.04</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(-1.94)</w:t>
            </w:r>
          </w:p>
        </w:tc>
        <w:tc>
          <w:tcPr>
            <w:tcW w:w="99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-0.43</w:t>
            </w:r>
          </w:p>
        </w:tc>
        <w:tc>
          <w:tcPr>
            <w:tcW w:w="1276"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(-3.19)</w:t>
            </w:r>
          </w:p>
        </w:tc>
        <w:tc>
          <w:tcPr>
            <w:tcW w:w="1418"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-8.43**</w:t>
            </w:r>
          </w:p>
        </w:tc>
        <w:tc>
          <w:tcPr>
            <w:tcW w:w="1842"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(-2.70)</w:t>
            </w:r>
          </w:p>
        </w:tc>
        <w:tc>
          <w:tcPr>
            <w:tcW w:w="1701" w:type="dxa"/>
            <w:tcBorders>
              <w:top w:val="nil"/>
              <w:left w:val="nil"/>
              <w:bottom w:val="nil"/>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(-0.59)</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(-1.51)</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tcBorders>
              <w:top w:val="nil"/>
              <w:left w:val="nil"/>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tcBorders>
              <w:top w:val="nil"/>
              <w:left w:val="nil"/>
              <w:bottom w:val="single" w:sz="8" w:space="0" w:color="000000"/>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992" w:type="dxa"/>
            <w:tcBorders>
              <w:top w:val="nil"/>
              <w:left w:val="nil"/>
              <w:bottom w:val="single" w:sz="8" w:space="0" w:color="auto"/>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276" w:type="dxa"/>
            <w:tcBorders>
              <w:top w:val="nil"/>
              <w:left w:val="nil"/>
              <w:bottom w:val="single" w:sz="8" w:space="0" w:color="auto"/>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tcBorders>
              <w:top w:val="nil"/>
              <w:left w:val="nil"/>
              <w:bottom w:val="single" w:sz="8" w:space="0" w:color="auto"/>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(-2.51)</w:t>
            </w:r>
          </w:p>
        </w:tc>
        <w:tc>
          <w:tcPr>
            <w:tcW w:w="1842" w:type="dxa"/>
            <w:tcBorders>
              <w:top w:val="nil"/>
              <w:left w:val="nil"/>
              <w:bottom w:val="single" w:sz="8" w:space="0" w:color="auto"/>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701" w:type="dxa"/>
            <w:tcBorders>
              <w:top w:val="nil"/>
              <w:left w:val="nil"/>
              <w:bottom w:val="single" w:sz="8" w:space="0" w:color="auto"/>
              <w:right w:val="single" w:sz="8" w:space="0" w:color="000000"/>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c>
          <w:tcPr>
            <w:tcW w:w="1418" w:type="dxa"/>
            <w:tcBorders>
              <w:top w:val="nil"/>
              <w:left w:val="nil"/>
              <w:bottom w:val="single" w:sz="8" w:space="0" w:color="auto"/>
              <w:right w:val="single" w:sz="8" w:space="0" w:color="auto"/>
            </w:tcBorders>
            <w:shd w:val="clear" w:color="auto" w:fill="auto"/>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r>
      <w:tr w:rsidR="00307CB8" w:rsidRPr="00012DCE" w:rsidTr="00E54346">
        <w:trPr>
          <w:trHeight w:val="315"/>
        </w:trPr>
        <w:tc>
          <w:tcPr>
            <w:tcW w:w="2258" w:type="dxa"/>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R2</w:t>
            </w:r>
          </w:p>
        </w:tc>
        <w:tc>
          <w:tcPr>
            <w:tcW w:w="1276"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0.8</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0.04</w:t>
            </w:r>
          </w:p>
        </w:tc>
        <w:tc>
          <w:tcPr>
            <w:tcW w:w="99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0.8</w:t>
            </w:r>
          </w:p>
        </w:tc>
        <w:tc>
          <w:tcPr>
            <w:tcW w:w="1276"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0.19</w:t>
            </w:r>
          </w:p>
        </w:tc>
        <w:tc>
          <w:tcPr>
            <w:tcW w:w="1418"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0.28</w:t>
            </w:r>
          </w:p>
        </w:tc>
        <w:tc>
          <w:tcPr>
            <w:tcW w:w="1842"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0.27</w:t>
            </w:r>
          </w:p>
        </w:tc>
        <w:tc>
          <w:tcPr>
            <w:tcW w:w="1701" w:type="dxa"/>
            <w:tcBorders>
              <w:top w:val="nil"/>
              <w:left w:val="nil"/>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0.34</w:t>
            </w: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0.33</w:t>
            </w:r>
          </w:p>
        </w:tc>
      </w:tr>
      <w:tr w:rsidR="00307CB8" w:rsidRPr="00012DCE" w:rsidTr="00E54346">
        <w:trPr>
          <w:trHeight w:val="300"/>
        </w:trPr>
        <w:tc>
          <w:tcPr>
            <w:tcW w:w="22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Durbin Watson</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1.75</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1.49</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1.76</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1.56</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1.5</w:t>
            </w:r>
          </w:p>
        </w:tc>
        <w:tc>
          <w:tcPr>
            <w:tcW w:w="18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1.63</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1.56</w:t>
            </w:r>
          </w:p>
        </w:tc>
        <w:tc>
          <w:tcPr>
            <w:tcW w:w="1418" w:type="dxa"/>
            <w:tcBorders>
              <w:top w:val="nil"/>
              <w:left w:val="nil"/>
              <w:bottom w:val="nil"/>
              <w:right w:val="single" w:sz="8" w:space="0" w:color="auto"/>
            </w:tcBorders>
            <w:shd w:val="clear" w:color="auto" w:fill="auto"/>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r>
      <w:tr w:rsidR="00307CB8" w:rsidRPr="00012DCE" w:rsidTr="00E54346">
        <w:trPr>
          <w:trHeight w:val="315"/>
        </w:trPr>
        <w:tc>
          <w:tcPr>
            <w:tcW w:w="225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99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276"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842"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701" w:type="dxa"/>
            <w:vMerge/>
            <w:tcBorders>
              <w:top w:val="nil"/>
              <w:left w:val="single" w:sz="8" w:space="0" w:color="000000"/>
              <w:bottom w:val="single" w:sz="8" w:space="0" w:color="000000"/>
              <w:right w:val="single" w:sz="8" w:space="0" w:color="000000"/>
            </w:tcBorders>
            <w:vAlign w:val="center"/>
            <w:hideMark/>
          </w:tcPr>
          <w:p w:rsidR="00307CB8" w:rsidRPr="00012DCE" w:rsidRDefault="00307CB8" w:rsidP="006C2E9D">
            <w:pPr>
              <w:spacing w:after="0" w:line="480" w:lineRule="auto"/>
              <w:rPr>
                <w:rFonts w:ascii="Arial" w:eastAsia="Times New Roman" w:hAnsi="Arial" w:cs="Arial"/>
                <w:spacing w:val="0"/>
                <w:sz w:val="20"/>
                <w:szCs w:val="20"/>
                <w:lang w:eastAsia="es-MX"/>
              </w:rPr>
            </w:pPr>
          </w:p>
        </w:tc>
        <w:tc>
          <w:tcPr>
            <w:tcW w:w="1418" w:type="dxa"/>
            <w:tcBorders>
              <w:top w:val="nil"/>
              <w:left w:val="nil"/>
              <w:bottom w:val="single" w:sz="8" w:space="0" w:color="000000"/>
              <w:right w:val="single" w:sz="8" w:space="0" w:color="auto"/>
            </w:tcBorders>
            <w:shd w:val="clear" w:color="auto" w:fill="auto"/>
            <w:vAlign w:val="center"/>
            <w:hideMark/>
          </w:tcPr>
          <w:p w:rsidR="00307CB8" w:rsidRPr="00012DCE" w:rsidRDefault="00307CB8" w:rsidP="006C2E9D">
            <w:pPr>
              <w:spacing w:after="0" w:line="480" w:lineRule="auto"/>
              <w:jc w:val="right"/>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1.58</w:t>
            </w:r>
          </w:p>
        </w:tc>
      </w:tr>
      <w:tr w:rsidR="00307CB8" w:rsidRPr="00012DCE" w:rsidTr="00E54346">
        <w:trPr>
          <w:trHeight w:val="300"/>
        </w:trPr>
        <w:tc>
          <w:tcPr>
            <w:tcW w:w="13882" w:type="dxa"/>
            <w:gridSpan w:val="9"/>
            <w:tcBorders>
              <w:top w:val="single" w:sz="8" w:space="0" w:color="000000"/>
              <w:left w:val="single" w:sz="8" w:space="0" w:color="000000"/>
              <w:bottom w:val="nil"/>
              <w:right w:val="single" w:sz="8" w:space="0" w:color="000000"/>
            </w:tcBorders>
            <w:shd w:val="clear" w:color="auto" w:fill="auto"/>
            <w:vAlign w:val="center"/>
            <w:hideMark/>
          </w:tcPr>
          <w:p w:rsidR="00307CB8" w:rsidRPr="00012DCE" w:rsidRDefault="00307CB8" w:rsidP="00521475">
            <w:pPr>
              <w:spacing w:after="0" w:line="480" w:lineRule="auto"/>
              <w:jc w:val="both"/>
              <w:rPr>
                <w:rFonts w:ascii="Arial" w:eastAsia="Times New Roman" w:hAnsi="Arial" w:cs="Arial"/>
                <w:spacing w:val="0"/>
                <w:sz w:val="20"/>
                <w:szCs w:val="20"/>
                <w:lang w:eastAsia="es-MX"/>
              </w:rPr>
            </w:pPr>
            <w:r w:rsidRPr="00012DCE">
              <w:rPr>
                <w:rFonts w:ascii="Arial" w:eastAsia="Times New Roman" w:hAnsi="Arial" w:cs="Arial"/>
                <w:sz w:val="20"/>
                <w:szCs w:val="20"/>
                <w:lang w:eastAsia="es-MX"/>
              </w:rPr>
              <w:t xml:space="preserve">*** p&lt;.10; ** p&lt;.05; * p&lt;.01 </w:t>
            </w:r>
            <w:r w:rsidRPr="00012DCE">
              <w:rPr>
                <w:rFonts w:ascii="Arial" w:eastAsia="Times New Roman" w:hAnsi="Arial" w:cs="Arial"/>
                <w:spacing w:val="0"/>
                <w:sz w:val="20"/>
                <w:szCs w:val="20"/>
                <w:lang w:eastAsia="es-MX"/>
              </w:rPr>
              <w:t>sin asterisco indica que no es significativa a ningún nivel de confianza.</w:t>
            </w:r>
          </w:p>
        </w:tc>
      </w:tr>
      <w:tr w:rsidR="00307CB8" w:rsidRPr="00012DCE" w:rsidTr="00E54346">
        <w:trPr>
          <w:trHeight w:val="300"/>
        </w:trPr>
        <w:tc>
          <w:tcPr>
            <w:tcW w:w="13882" w:type="dxa"/>
            <w:gridSpan w:val="9"/>
            <w:tcBorders>
              <w:top w:val="nil"/>
              <w:left w:val="single" w:sz="8" w:space="0" w:color="000000"/>
              <w:bottom w:val="nil"/>
              <w:right w:val="single" w:sz="8" w:space="0" w:color="000000"/>
            </w:tcBorders>
            <w:shd w:val="clear" w:color="auto" w:fill="auto"/>
            <w:vAlign w:val="center"/>
            <w:hideMark/>
          </w:tcPr>
          <w:p w:rsidR="00307CB8" w:rsidRPr="00012DCE" w:rsidRDefault="00307CB8" w:rsidP="00521475">
            <w:pPr>
              <w:spacing w:after="0" w:line="480" w:lineRule="auto"/>
              <w:jc w:val="both"/>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xml:space="preserve">Fuente: </w:t>
            </w:r>
            <w:r w:rsidR="00521475">
              <w:rPr>
                <w:rFonts w:ascii="Arial" w:eastAsia="Times New Roman" w:hAnsi="Arial" w:cs="Arial"/>
                <w:spacing w:val="0"/>
                <w:sz w:val="20"/>
                <w:szCs w:val="20"/>
                <w:lang w:eastAsia="es-MX"/>
              </w:rPr>
              <w:t>C</w:t>
            </w:r>
            <w:r w:rsidRPr="00012DCE">
              <w:rPr>
                <w:rFonts w:ascii="Arial" w:eastAsia="Times New Roman" w:hAnsi="Arial" w:cs="Arial"/>
                <w:spacing w:val="0"/>
                <w:sz w:val="20"/>
                <w:szCs w:val="20"/>
                <w:lang w:eastAsia="es-MX"/>
              </w:rPr>
              <w:t>álculos pr</w:t>
            </w:r>
            <w:r w:rsidRPr="00012DCE">
              <w:rPr>
                <w:rFonts w:ascii="Arial" w:eastAsia="Times New Roman" w:hAnsi="Arial" w:cs="Arial"/>
                <w:sz w:val="20"/>
                <w:szCs w:val="20"/>
                <w:lang w:eastAsia="es-MX"/>
              </w:rPr>
              <w:t xml:space="preserve">opios </w:t>
            </w:r>
            <w:r w:rsidR="00521475">
              <w:rPr>
                <w:rFonts w:ascii="Arial" w:eastAsia="Times New Roman" w:hAnsi="Arial" w:cs="Arial"/>
                <w:sz w:val="20"/>
                <w:szCs w:val="20"/>
                <w:lang w:eastAsia="es-MX"/>
              </w:rPr>
              <w:t>con</w:t>
            </w:r>
            <w:r w:rsidRPr="00012DCE">
              <w:rPr>
                <w:rFonts w:ascii="Arial" w:eastAsia="Times New Roman" w:hAnsi="Arial" w:cs="Arial"/>
                <w:sz w:val="20"/>
                <w:szCs w:val="20"/>
                <w:lang w:eastAsia="es-MX"/>
              </w:rPr>
              <w:t xml:space="preserve"> base </w:t>
            </w:r>
            <w:r w:rsidR="00521475">
              <w:rPr>
                <w:rFonts w:ascii="Arial" w:eastAsia="Times New Roman" w:hAnsi="Arial" w:cs="Arial"/>
                <w:sz w:val="20"/>
                <w:szCs w:val="20"/>
                <w:lang w:eastAsia="es-MX"/>
              </w:rPr>
              <w:t>en el</w:t>
            </w:r>
            <w:r w:rsidRPr="00012DCE">
              <w:rPr>
                <w:rFonts w:ascii="Arial" w:eastAsia="Times New Roman" w:hAnsi="Arial" w:cs="Arial"/>
                <w:sz w:val="20"/>
                <w:szCs w:val="20"/>
                <w:lang w:eastAsia="es-MX"/>
              </w:rPr>
              <w:t xml:space="preserve"> programa econometrics views versión 8.0</w:t>
            </w:r>
            <w:r w:rsidRPr="00012DCE">
              <w:rPr>
                <w:rFonts w:ascii="Arial" w:eastAsia="Times New Roman" w:hAnsi="Arial" w:cs="Arial"/>
                <w:spacing w:val="0"/>
                <w:sz w:val="20"/>
                <w:szCs w:val="20"/>
                <w:lang w:eastAsia="es-MX"/>
              </w:rPr>
              <w:t>.</w:t>
            </w:r>
          </w:p>
        </w:tc>
      </w:tr>
      <w:tr w:rsidR="00307CB8" w:rsidRPr="00012DCE" w:rsidTr="00E54346">
        <w:trPr>
          <w:trHeight w:val="315"/>
        </w:trPr>
        <w:tc>
          <w:tcPr>
            <w:tcW w:w="13882" w:type="dxa"/>
            <w:gridSpan w:val="9"/>
            <w:tcBorders>
              <w:top w:val="nil"/>
              <w:left w:val="single" w:sz="8" w:space="0" w:color="000000"/>
              <w:bottom w:val="single" w:sz="8" w:space="0" w:color="000000"/>
              <w:right w:val="single" w:sz="8" w:space="0" w:color="000000"/>
            </w:tcBorders>
            <w:shd w:val="clear" w:color="auto" w:fill="auto"/>
            <w:vAlign w:val="center"/>
            <w:hideMark/>
          </w:tcPr>
          <w:p w:rsidR="00307CB8" w:rsidRPr="00012DCE" w:rsidRDefault="00307CB8" w:rsidP="006C2E9D">
            <w:pPr>
              <w:spacing w:after="0" w:line="480" w:lineRule="auto"/>
              <w:jc w:val="both"/>
              <w:rPr>
                <w:rFonts w:ascii="Arial" w:eastAsia="Times New Roman" w:hAnsi="Arial" w:cs="Arial"/>
                <w:spacing w:val="0"/>
                <w:sz w:val="20"/>
                <w:szCs w:val="20"/>
                <w:lang w:eastAsia="es-MX"/>
              </w:rPr>
            </w:pPr>
            <w:r w:rsidRPr="00012DCE">
              <w:rPr>
                <w:rFonts w:ascii="Arial" w:eastAsia="Times New Roman" w:hAnsi="Arial" w:cs="Arial"/>
                <w:spacing w:val="0"/>
                <w:sz w:val="20"/>
                <w:szCs w:val="20"/>
                <w:lang w:eastAsia="es-MX"/>
              </w:rPr>
              <w:t> </w:t>
            </w:r>
          </w:p>
        </w:tc>
      </w:tr>
    </w:tbl>
    <w:p w:rsidR="00307CB8" w:rsidRPr="00DE7E31" w:rsidRDefault="00307CB8" w:rsidP="006C2E9D">
      <w:pPr>
        <w:pStyle w:val="Ttulo1"/>
        <w:spacing w:line="480" w:lineRule="auto"/>
        <w:jc w:val="both"/>
        <w:rPr>
          <w:rFonts w:ascii="Arial" w:hAnsi="Arial" w:cs="Arial"/>
          <w:sz w:val="24"/>
          <w:szCs w:val="24"/>
        </w:rPr>
        <w:sectPr w:rsidR="00307CB8" w:rsidRPr="00DE7E31" w:rsidSect="009017CC">
          <w:footerReference w:type="first" r:id="rId12"/>
          <w:pgSz w:w="16840" w:h="11907" w:orient="landscape" w:code="9"/>
          <w:pgMar w:top="1701" w:right="1418" w:bottom="1701" w:left="1418" w:header="709" w:footer="709" w:gutter="0"/>
          <w:cols w:space="708"/>
          <w:titlePg/>
          <w:docGrid w:linePitch="360"/>
        </w:sectPr>
      </w:pPr>
    </w:p>
    <w:p w:rsidR="00307CB8" w:rsidRPr="008F17A2" w:rsidRDefault="00307CB8" w:rsidP="008F17A2">
      <w:pPr>
        <w:spacing w:line="360" w:lineRule="auto"/>
        <w:jc w:val="both"/>
        <w:rPr>
          <w:rStyle w:val="apple-style-span"/>
          <w:sz w:val="24"/>
          <w:shd w:val="clear" w:color="auto" w:fill="FFFFFF"/>
        </w:rPr>
      </w:pPr>
      <w:r w:rsidRPr="008F17A2">
        <w:rPr>
          <w:rStyle w:val="apple-style-span"/>
          <w:sz w:val="24"/>
          <w:shd w:val="clear" w:color="auto" w:fill="FFFFFF"/>
        </w:rPr>
        <w:lastRenderedPageBreak/>
        <w:t xml:space="preserve">Muchos autores señalan que </w:t>
      </w:r>
      <w:r w:rsidR="003D17C8" w:rsidRPr="008F17A2">
        <w:rPr>
          <w:rStyle w:val="apple-style-span"/>
          <w:sz w:val="24"/>
          <w:shd w:val="clear" w:color="auto" w:fill="FFFFFF"/>
        </w:rPr>
        <w:t>se</w:t>
      </w:r>
      <w:r w:rsidR="00CD0799" w:rsidRPr="008F17A2">
        <w:rPr>
          <w:rStyle w:val="apple-style-span"/>
          <w:sz w:val="24"/>
          <w:shd w:val="clear" w:color="auto" w:fill="FFFFFF"/>
        </w:rPr>
        <w:t xml:space="preserve"> esperaría</w:t>
      </w:r>
      <w:r w:rsidR="003D17C8" w:rsidRPr="008F17A2">
        <w:rPr>
          <w:rStyle w:val="apple-style-span"/>
          <w:sz w:val="24"/>
          <w:shd w:val="clear" w:color="auto" w:fill="FFFFFF"/>
        </w:rPr>
        <w:t xml:space="preserve"> que en </w:t>
      </w:r>
      <w:r w:rsidRPr="008F17A2">
        <w:rPr>
          <w:rStyle w:val="apple-style-span"/>
          <w:sz w:val="24"/>
          <w:shd w:val="clear" w:color="auto" w:fill="FFFFFF"/>
        </w:rPr>
        <w:t>los lugares donde los salarios tienden a ser más bajos los inversionistas obt</w:t>
      </w:r>
      <w:r w:rsidR="00AC7D2C" w:rsidRPr="008F17A2">
        <w:rPr>
          <w:rStyle w:val="apple-style-span"/>
          <w:sz w:val="24"/>
          <w:shd w:val="clear" w:color="auto" w:fill="FFFFFF"/>
        </w:rPr>
        <w:t>uvieran</w:t>
      </w:r>
      <w:r w:rsidRPr="008F17A2">
        <w:rPr>
          <w:rStyle w:val="apple-style-span"/>
          <w:sz w:val="24"/>
          <w:shd w:val="clear" w:color="auto" w:fill="FFFFFF"/>
        </w:rPr>
        <w:t xml:space="preserve"> un rendimiento más alto. En general, la búsqueda de salarios más bajos </w:t>
      </w:r>
      <w:r w:rsidR="00CD0799" w:rsidRPr="008F17A2">
        <w:rPr>
          <w:rStyle w:val="apple-style-span"/>
          <w:sz w:val="24"/>
          <w:shd w:val="clear" w:color="auto" w:fill="FFFFFF"/>
        </w:rPr>
        <w:t>se</w:t>
      </w:r>
      <w:r w:rsidRPr="008F17A2">
        <w:rPr>
          <w:rStyle w:val="apple-style-span"/>
          <w:sz w:val="24"/>
          <w:shd w:val="clear" w:color="auto" w:fill="FFFFFF"/>
        </w:rPr>
        <w:t xml:space="preserve"> relaciona con la reducción de costos, aunque la evidencia empírica ha mostrado que no necesariamente los inversionistas que se localizan en los lugares con los salarios más bajos obtienen mayores rendimientos, debido a la influencia de otros aspectos, tales como la ubicación geográfica en relación </w:t>
      </w:r>
      <w:r w:rsidR="00CD0799" w:rsidRPr="008F17A2">
        <w:rPr>
          <w:rStyle w:val="apple-style-span"/>
          <w:sz w:val="24"/>
          <w:shd w:val="clear" w:color="auto" w:fill="FFFFFF"/>
        </w:rPr>
        <w:t xml:space="preserve">con </w:t>
      </w:r>
      <w:r w:rsidRPr="008F17A2">
        <w:rPr>
          <w:rStyle w:val="apple-style-span"/>
          <w:sz w:val="24"/>
          <w:shd w:val="clear" w:color="auto" w:fill="FFFFFF"/>
        </w:rPr>
        <w:t xml:space="preserve">la cercanía donde se adquieren los insumos o </w:t>
      </w:r>
      <w:r w:rsidR="00CD0799" w:rsidRPr="008F17A2">
        <w:rPr>
          <w:rStyle w:val="apple-style-span"/>
          <w:sz w:val="24"/>
          <w:shd w:val="clear" w:color="auto" w:fill="FFFFFF"/>
        </w:rPr>
        <w:t>con el</w:t>
      </w:r>
      <w:r w:rsidRPr="008F17A2">
        <w:rPr>
          <w:rStyle w:val="apple-style-span"/>
          <w:sz w:val="24"/>
          <w:shd w:val="clear" w:color="auto" w:fill="FFFFFF"/>
        </w:rPr>
        <w:t xml:space="preserve"> mercado, entre muchos otros más. </w:t>
      </w:r>
    </w:p>
    <w:p w:rsidR="00307CB8" w:rsidRPr="008F17A2" w:rsidRDefault="00307CB8" w:rsidP="008F17A2">
      <w:pPr>
        <w:spacing w:line="360" w:lineRule="auto"/>
        <w:jc w:val="both"/>
        <w:rPr>
          <w:rStyle w:val="apple-style-span"/>
          <w:sz w:val="24"/>
          <w:shd w:val="clear" w:color="auto" w:fill="FFFFFF"/>
        </w:rPr>
      </w:pPr>
      <w:r w:rsidRPr="008F17A2">
        <w:rPr>
          <w:rStyle w:val="apple-style-span"/>
          <w:sz w:val="24"/>
          <w:shd w:val="clear" w:color="auto" w:fill="FFFFFF"/>
        </w:rPr>
        <w:t xml:space="preserve">El caso de los estados situados en la frontera norte </w:t>
      </w:r>
      <w:r w:rsidR="00887F14" w:rsidRPr="008F17A2">
        <w:rPr>
          <w:rStyle w:val="apple-style-span"/>
          <w:sz w:val="24"/>
          <w:shd w:val="clear" w:color="auto" w:fill="FFFFFF"/>
        </w:rPr>
        <w:t>tiene que ver</w:t>
      </w:r>
      <w:r w:rsidRPr="008F17A2">
        <w:rPr>
          <w:rStyle w:val="apple-style-span"/>
          <w:sz w:val="24"/>
          <w:shd w:val="clear" w:color="auto" w:fill="FFFFFF"/>
        </w:rPr>
        <w:t xml:space="preserve"> con </w:t>
      </w:r>
      <w:r w:rsidR="00CD709B" w:rsidRPr="008F17A2">
        <w:rPr>
          <w:rStyle w:val="apple-style-span"/>
          <w:sz w:val="24"/>
          <w:shd w:val="clear" w:color="auto" w:fill="FFFFFF"/>
        </w:rPr>
        <w:t>su</w:t>
      </w:r>
      <w:r w:rsidRPr="008F17A2">
        <w:rPr>
          <w:rStyle w:val="apple-style-span"/>
          <w:sz w:val="24"/>
          <w:shd w:val="clear" w:color="auto" w:fill="FFFFFF"/>
        </w:rPr>
        <w:t xml:space="preserve"> cercanía con Estados Unidos, y aunque </w:t>
      </w:r>
      <w:r w:rsidR="00CD709B" w:rsidRPr="008F17A2">
        <w:rPr>
          <w:rStyle w:val="apple-style-span"/>
          <w:sz w:val="24"/>
          <w:shd w:val="clear" w:color="auto" w:fill="FFFFFF"/>
        </w:rPr>
        <w:t>sus</w:t>
      </w:r>
      <w:r w:rsidRPr="008F17A2">
        <w:rPr>
          <w:rStyle w:val="apple-style-span"/>
          <w:sz w:val="24"/>
          <w:shd w:val="clear" w:color="auto" w:fill="FFFFFF"/>
        </w:rPr>
        <w:t xml:space="preserve"> salarios no son los más bajos de todo el país muchos inversionistas optan por localizarse en </w:t>
      </w:r>
      <w:r w:rsidR="00CD709B" w:rsidRPr="008F17A2">
        <w:rPr>
          <w:rStyle w:val="apple-style-span"/>
          <w:sz w:val="24"/>
          <w:shd w:val="clear" w:color="auto" w:fill="FFFFFF"/>
        </w:rPr>
        <w:t>la</w:t>
      </w:r>
      <w:r w:rsidRPr="008F17A2">
        <w:rPr>
          <w:rStyle w:val="apple-style-span"/>
          <w:sz w:val="24"/>
          <w:shd w:val="clear" w:color="auto" w:fill="FFFFFF"/>
        </w:rPr>
        <w:t xml:space="preserve"> región </w:t>
      </w:r>
      <w:r w:rsidR="00CD709B" w:rsidRPr="008F17A2">
        <w:rPr>
          <w:rStyle w:val="apple-style-span"/>
          <w:sz w:val="24"/>
          <w:shd w:val="clear" w:color="auto" w:fill="FFFFFF"/>
        </w:rPr>
        <w:t>debido a</w:t>
      </w:r>
      <w:r w:rsidRPr="008F17A2">
        <w:rPr>
          <w:rStyle w:val="apple-style-span"/>
          <w:sz w:val="24"/>
          <w:shd w:val="clear" w:color="auto" w:fill="FFFFFF"/>
        </w:rPr>
        <w:t xml:space="preserve"> que </w:t>
      </w:r>
      <w:r w:rsidR="00887F14" w:rsidRPr="008F17A2">
        <w:rPr>
          <w:rStyle w:val="apple-style-span"/>
          <w:sz w:val="24"/>
          <w:shd w:val="clear" w:color="auto" w:fill="FFFFFF"/>
        </w:rPr>
        <w:t>dispone</w:t>
      </w:r>
      <w:r w:rsidR="00CD709B" w:rsidRPr="008F17A2">
        <w:rPr>
          <w:rStyle w:val="apple-style-span"/>
          <w:sz w:val="24"/>
          <w:shd w:val="clear" w:color="auto" w:fill="FFFFFF"/>
        </w:rPr>
        <w:t>n</w:t>
      </w:r>
      <w:r w:rsidR="00887F14" w:rsidRPr="008F17A2">
        <w:rPr>
          <w:rStyle w:val="apple-style-span"/>
          <w:sz w:val="24"/>
          <w:shd w:val="clear" w:color="auto" w:fill="FFFFFF"/>
        </w:rPr>
        <w:t xml:space="preserve"> de</w:t>
      </w:r>
      <w:r w:rsidRPr="008F17A2">
        <w:rPr>
          <w:rStyle w:val="apple-style-span"/>
          <w:sz w:val="24"/>
          <w:shd w:val="clear" w:color="auto" w:fill="FFFFFF"/>
        </w:rPr>
        <w:t xml:space="preserve"> bajos costos </w:t>
      </w:r>
      <w:r w:rsidR="00CD709B" w:rsidRPr="008F17A2">
        <w:rPr>
          <w:rStyle w:val="apple-style-span"/>
          <w:sz w:val="24"/>
          <w:shd w:val="clear" w:color="auto" w:fill="FFFFFF"/>
        </w:rPr>
        <w:t>para</w:t>
      </w:r>
      <w:r w:rsidR="00887F14" w:rsidRPr="008F17A2">
        <w:rPr>
          <w:rStyle w:val="apple-style-span"/>
          <w:sz w:val="24"/>
          <w:shd w:val="clear" w:color="auto" w:fill="FFFFFF"/>
        </w:rPr>
        <w:t xml:space="preserve"> </w:t>
      </w:r>
      <w:r w:rsidR="00CD709B" w:rsidRPr="008F17A2">
        <w:rPr>
          <w:rStyle w:val="apple-style-span"/>
          <w:sz w:val="24"/>
          <w:shd w:val="clear" w:color="auto" w:fill="FFFFFF"/>
        </w:rPr>
        <w:t>la</w:t>
      </w:r>
      <w:r w:rsidRPr="008F17A2">
        <w:rPr>
          <w:rStyle w:val="apple-style-span"/>
          <w:sz w:val="24"/>
          <w:shd w:val="clear" w:color="auto" w:fill="FFFFFF"/>
        </w:rPr>
        <w:t xml:space="preserve"> transport</w:t>
      </w:r>
      <w:r w:rsidR="00CD709B" w:rsidRPr="008F17A2">
        <w:rPr>
          <w:rStyle w:val="apple-style-span"/>
          <w:sz w:val="24"/>
          <w:shd w:val="clear" w:color="auto" w:fill="FFFFFF"/>
        </w:rPr>
        <w:t>ación</w:t>
      </w:r>
      <w:r w:rsidRPr="008F17A2">
        <w:rPr>
          <w:rStyle w:val="apple-style-span"/>
          <w:sz w:val="24"/>
          <w:shd w:val="clear" w:color="auto" w:fill="FFFFFF"/>
        </w:rPr>
        <w:t xml:space="preserve"> de materias primas y productos terminados</w:t>
      </w:r>
      <w:r w:rsidR="00887F14" w:rsidRPr="008F17A2">
        <w:rPr>
          <w:rStyle w:val="apple-style-span"/>
          <w:sz w:val="24"/>
          <w:shd w:val="clear" w:color="auto" w:fill="FFFFFF"/>
        </w:rPr>
        <w:t>, los cuales</w:t>
      </w:r>
      <w:r w:rsidRPr="008F17A2">
        <w:rPr>
          <w:rStyle w:val="apple-style-span"/>
          <w:sz w:val="24"/>
          <w:shd w:val="clear" w:color="auto" w:fill="FFFFFF"/>
        </w:rPr>
        <w:t xml:space="preserve"> comercializa</w:t>
      </w:r>
      <w:r w:rsidR="00887F14" w:rsidRPr="008F17A2">
        <w:rPr>
          <w:rStyle w:val="apple-style-span"/>
          <w:sz w:val="24"/>
          <w:shd w:val="clear" w:color="auto" w:fill="FFFFFF"/>
        </w:rPr>
        <w:t>n</w:t>
      </w:r>
      <w:r w:rsidRPr="008F17A2">
        <w:rPr>
          <w:rStyle w:val="apple-style-span"/>
          <w:sz w:val="24"/>
          <w:shd w:val="clear" w:color="auto" w:fill="FFFFFF"/>
        </w:rPr>
        <w:t xml:space="preserve"> en el vecino </w:t>
      </w:r>
      <w:r w:rsidR="00887F14" w:rsidRPr="008F17A2">
        <w:rPr>
          <w:rStyle w:val="apple-style-span"/>
          <w:sz w:val="24"/>
          <w:shd w:val="clear" w:color="auto" w:fill="FFFFFF"/>
        </w:rPr>
        <w:t xml:space="preserve">país </w:t>
      </w:r>
      <w:r w:rsidRPr="008F17A2">
        <w:rPr>
          <w:rStyle w:val="apple-style-span"/>
          <w:sz w:val="24"/>
          <w:shd w:val="clear" w:color="auto" w:fill="FFFFFF"/>
        </w:rPr>
        <w:t xml:space="preserve">del norte.    </w:t>
      </w:r>
    </w:p>
    <w:p w:rsidR="00307CB8" w:rsidRPr="008F17A2" w:rsidRDefault="00307CB8" w:rsidP="008F17A2">
      <w:pPr>
        <w:spacing w:line="360" w:lineRule="auto"/>
        <w:jc w:val="both"/>
        <w:rPr>
          <w:sz w:val="24"/>
        </w:rPr>
      </w:pPr>
      <w:r w:rsidRPr="008F17A2">
        <w:rPr>
          <w:sz w:val="24"/>
        </w:rPr>
        <w:t xml:space="preserve">Si bien México posee </w:t>
      </w:r>
      <w:r w:rsidR="00F656E3" w:rsidRPr="008F17A2">
        <w:rPr>
          <w:sz w:val="24"/>
        </w:rPr>
        <w:t xml:space="preserve">ciertas </w:t>
      </w:r>
      <w:r w:rsidRPr="008F17A2">
        <w:rPr>
          <w:sz w:val="24"/>
        </w:rPr>
        <w:t xml:space="preserve">ventajas </w:t>
      </w:r>
      <w:r w:rsidR="00F656E3" w:rsidRPr="008F17A2">
        <w:rPr>
          <w:sz w:val="24"/>
        </w:rPr>
        <w:t>en comparación con</w:t>
      </w:r>
      <w:r w:rsidRPr="008F17A2">
        <w:rPr>
          <w:sz w:val="24"/>
        </w:rPr>
        <w:t xml:space="preserve"> otros países, </w:t>
      </w:r>
      <w:r w:rsidR="005621E7" w:rsidRPr="008F17A2">
        <w:rPr>
          <w:sz w:val="24"/>
        </w:rPr>
        <w:t xml:space="preserve">debido a </w:t>
      </w:r>
      <w:r w:rsidRPr="008F17A2">
        <w:rPr>
          <w:sz w:val="24"/>
        </w:rPr>
        <w:t xml:space="preserve">su posición geográfica la infraestructura es sin duda un factor relevante </w:t>
      </w:r>
      <w:r w:rsidR="005621E7" w:rsidRPr="008F17A2">
        <w:rPr>
          <w:sz w:val="24"/>
        </w:rPr>
        <w:t xml:space="preserve">que influye en </w:t>
      </w:r>
      <w:r w:rsidRPr="008F17A2">
        <w:rPr>
          <w:sz w:val="24"/>
        </w:rPr>
        <w:t xml:space="preserve">la IED. El desarrollo de servicios de comunicaciones y transportes, ha contribuido sin duda alguna a la facilitación del ingreso de la IED al país, privilegiando principalmente a </w:t>
      </w:r>
      <w:r w:rsidR="009315C3" w:rsidRPr="008F17A2">
        <w:rPr>
          <w:sz w:val="24"/>
        </w:rPr>
        <w:t>sus</w:t>
      </w:r>
      <w:r w:rsidRPr="008F17A2">
        <w:rPr>
          <w:sz w:val="24"/>
        </w:rPr>
        <w:t xml:space="preserve"> concentraciones económicas y comerciales más grandes y </w:t>
      </w:r>
      <w:r w:rsidR="009315C3" w:rsidRPr="008F17A2">
        <w:rPr>
          <w:sz w:val="24"/>
        </w:rPr>
        <w:t>a sus</w:t>
      </w:r>
      <w:r w:rsidRPr="008F17A2">
        <w:rPr>
          <w:sz w:val="24"/>
        </w:rPr>
        <w:t xml:space="preserve"> estados fronterizos. Sin embargo, la carencia de estos ha influido </w:t>
      </w:r>
      <w:r w:rsidR="00AE36B1" w:rsidRPr="008F17A2">
        <w:rPr>
          <w:sz w:val="24"/>
        </w:rPr>
        <w:t xml:space="preserve">para </w:t>
      </w:r>
      <w:r w:rsidRPr="008F17A2">
        <w:rPr>
          <w:sz w:val="24"/>
        </w:rPr>
        <w:t xml:space="preserve">que en estados como Michoacán y otros, se limite en cierta medida el ingreso de IED. </w:t>
      </w:r>
    </w:p>
    <w:p w:rsidR="00307CB8" w:rsidRPr="008F17A2" w:rsidRDefault="00307CB8" w:rsidP="008F17A2">
      <w:pPr>
        <w:spacing w:line="360" w:lineRule="auto"/>
        <w:jc w:val="both"/>
        <w:rPr>
          <w:sz w:val="24"/>
        </w:rPr>
      </w:pPr>
      <w:r w:rsidRPr="008F17A2">
        <w:rPr>
          <w:sz w:val="24"/>
        </w:rPr>
        <w:t>De acuerdo a los resultados de los modelos en los que se incluyen las variables ficticias efecto DF y efecto frontera, hay cierta confusión sobre la influencia del DF y los estados de la frontera sobre la IED, ya que el primero, el centro económico, político y comercial más grande del país</w:t>
      </w:r>
      <w:r w:rsidR="007168FD" w:rsidRPr="008F17A2">
        <w:rPr>
          <w:sz w:val="24"/>
        </w:rPr>
        <w:t>,</w:t>
      </w:r>
      <w:r w:rsidRPr="008F17A2">
        <w:rPr>
          <w:sz w:val="24"/>
        </w:rPr>
        <w:t xml:space="preserve"> capta más del 70</w:t>
      </w:r>
      <w:r w:rsidR="007168FD" w:rsidRPr="008F17A2">
        <w:rPr>
          <w:sz w:val="24"/>
        </w:rPr>
        <w:t xml:space="preserve"> </w:t>
      </w:r>
      <w:r w:rsidRPr="008F17A2">
        <w:rPr>
          <w:sz w:val="24"/>
        </w:rPr>
        <w:t xml:space="preserve">% del total de la IED, aunque en los modelos que se incluyen estas variables no se pudo comprobar tal relación debido a la carencia de significancia en el coeficiente de determinación. Por su parte, la influencia entre los estados de la frontera norte y la determinación de la IED en algunos modelos sí es considerada una variable que incide sobre </w:t>
      </w:r>
      <w:r w:rsidR="007168FD" w:rsidRPr="008F17A2">
        <w:rPr>
          <w:sz w:val="24"/>
        </w:rPr>
        <w:t>esta</w:t>
      </w:r>
      <w:r w:rsidRPr="008F17A2">
        <w:rPr>
          <w:sz w:val="24"/>
        </w:rPr>
        <w:t xml:space="preserve">, ya que es en estos estados de </w:t>
      </w:r>
      <w:r w:rsidR="00AC7274" w:rsidRPr="008F17A2">
        <w:rPr>
          <w:sz w:val="24"/>
        </w:rPr>
        <w:t>la república donde se encuentra</w:t>
      </w:r>
      <w:r w:rsidRPr="008F17A2">
        <w:rPr>
          <w:sz w:val="24"/>
        </w:rPr>
        <w:t xml:space="preserve"> establecid</w:t>
      </w:r>
      <w:r w:rsidR="007168FD" w:rsidRPr="008F17A2">
        <w:rPr>
          <w:sz w:val="24"/>
        </w:rPr>
        <w:t xml:space="preserve">o </w:t>
      </w:r>
      <w:r w:rsidRPr="008F17A2">
        <w:rPr>
          <w:sz w:val="24"/>
        </w:rPr>
        <w:t xml:space="preserve">un mayor número de plantas maquiladoras.    </w:t>
      </w:r>
    </w:p>
    <w:p w:rsidR="00307CB8" w:rsidRPr="008F17A2" w:rsidRDefault="00AC7274" w:rsidP="008F17A2">
      <w:pPr>
        <w:spacing w:line="360" w:lineRule="auto"/>
        <w:jc w:val="both"/>
        <w:rPr>
          <w:sz w:val="24"/>
        </w:rPr>
      </w:pPr>
      <w:r w:rsidRPr="008F17A2">
        <w:rPr>
          <w:sz w:val="24"/>
        </w:rPr>
        <w:t>La relación que guardan los</w:t>
      </w:r>
      <w:r w:rsidR="007D534F" w:rsidRPr="008F17A2">
        <w:rPr>
          <w:sz w:val="24"/>
        </w:rPr>
        <w:t xml:space="preserve"> factores políticos y la IED, parece indicar que no tienen la suficiente incidencia, esto se puede deber a que la alternancia no ha planteado modificaciones muy profundas en la política económica del país como para incidir de </w:t>
      </w:r>
      <w:r w:rsidR="007D534F" w:rsidRPr="008F17A2">
        <w:rPr>
          <w:sz w:val="24"/>
        </w:rPr>
        <w:lastRenderedPageBreak/>
        <w:t xml:space="preserve">manera contundente sobre las expectativas de los inversionistas internacionales. </w:t>
      </w:r>
      <w:r w:rsidR="00307CB8" w:rsidRPr="008F17A2">
        <w:rPr>
          <w:sz w:val="24"/>
        </w:rPr>
        <w:t>Es decir, para los inversores no es relevan</w:t>
      </w:r>
      <w:r w:rsidR="00160B7F" w:rsidRPr="008F17A2">
        <w:rPr>
          <w:sz w:val="24"/>
        </w:rPr>
        <w:t>te</w:t>
      </w:r>
      <w:r w:rsidR="00307CB8" w:rsidRPr="008F17A2">
        <w:rPr>
          <w:sz w:val="24"/>
        </w:rPr>
        <w:t xml:space="preserve"> el partido gob</w:t>
      </w:r>
      <w:r w:rsidR="000E669E" w:rsidRPr="008F17A2">
        <w:rPr>
          <w:sz w:val="24"/>
        </w:rPr>
        <w:t>ernante</w:t>
      </w:r>
      <w:r w:rsidR="00307CB8" w:rsidRPr="008F17A2">
        <w:rPr>
          <w:sz w:val="24"/>
        </w:rPr>
        <w:t xml:space="preserve"> o la procedencia partidista de los legisladores en el estado en el que tiene</w:t>
      </w:r>
      <w:r w:rsidR="00160B7F" w:rsidRPr="008F17A2">
        <w:rPr>
          <w:sz w:val="24"/>
        </w:rPr>
        <w:t>n</w:t>
      </w:r>
      <w:r w:rsidR="00307CB8" w:rsidRPr="008F17A2">
        <w:rPr>
          <w:sz w:val="24"/>
        </w:rPr>
        <w:t xml:space="preserve"> interés </w:t>
      </w:r>
      <w:r w:rsidR="00160B7F" w:rsidRPr="008F17A2">
        <w:rPr>
          <w:sz w:val="24"/>
        </w:rPr>
        <w:t xml:space="preserve">de </w:t>
      </w:r>
      <w:r w:rsidR="00307CB8" w:rsidRPr="008F17A2">
        <w:rPr>
          <w:sz w:val="24"/>
        </w:rPr>
        <w:t xml:space="preserve">establecer sus inversiones.  </w:t>
      </w:r>
    </w:p>
    <w:p w:rsidR="005E5D0B" w:rsidRPr="008F17A2" w:rsidRDefault="005E5D0B" w:rsidP="008F17A2">
      <w:pPr>
        <w:spacing w:line="360" w:lineRule="auto"/>
        <w:jc w:val="both"/>
        <w:rPr>
          <w:sz w:val="24"/>
        </w:rPr>
      </w:pPr>
      <w:r w:rsidRPr="008F17A2">
        <w:rPr>
          <w:sz w:val="24"/>
        </w:rPr>
        <w:t>A</w:t>
      </w:r>
      <w:r w:rsidR="000E669E" w:rsidRPr="008F17A2">
        <w:rPr>
          <w:sz w:val="24"/>
        </w:rPr>
        <w:t xml:space="preserve"> pesar de que</w:t>
      </w:r>
      <w:r w:rsidR="00307CB8" w:rsidRPr="008F17A2">
        <w:rPr>
          <w:sz w:val="24"/>
        </w:rPr>
        <w:t xml:space="preserve"> </w:t>
      </w:r>
      <w:r w:rsidR="007D534F" w:rsidRPr="008F17A2">
        <w:rPr>
          <w:sz w:val="24"/>
        </w:rPr>
        <w:t xml:space="preserve">en los últimos años, principalmente a partir del gobierno de Felipe Calderón, </w:t>
      </w:r>
      <w:r w:rsidR="00307CB8" w:rsidRPr="008F17A2">
        <w:rPr>
          <w:sz w:val="24"/>
        </w:rPr>
        <w:t xml:space="preserve">ha </w:t>
      </w:r>
      <w:r w:rsidR="000E669E" w:rsidRPr="008F17A2">
        <w:rPr>
          <w:sz w:val="24"/>
        </w:rPr>
        <w:t>habido</w:t>
      </w:r>
      <w:r w:rsidR="00307CB8" w:rsidRPr="008F17A2">
        <w:rPr>
          <w:sz w:val="24"/>
        </w:rPr>
        <w:t xml:space="preserve"> un incremento sustancial en la</w:t>
      </w:r>
      <w:r w:rsidR="007D534F" w:rsidRPr="008F17A2">
        <w:rPr>
          <w:sz w:val="24"/>
        </w:rPr>
        <w:t xml:space="preserve"> inestabilidad social </w:t>
      </w:r>
      <w:r w:rsidR="000E669E" w:rsidRPr="008F17A2">
        <w:rPr>
          <w:sz w:val="24"/>
        </w:rPr>
        <w:t xml:space="preserve">que se ha </w:t>
      </w:r>
      <w:r w:rsidR="007D534F" w:rsidRPr="008F17A2">
        <w:rPr>
          <w:sz w:val="24"/>
        </w:rPr>
        <w:t>reflejado en mayor</w:t>
      </w:r>
      <w:r w:rsidR="00307CB8" w:rsidRPr="008F17A2">
        <w:rPr>
          <w:sz w:val="24"/>
        </w:rPr>
        <w:t xml:space="preserve"> inseguridad y delincuencia </w:t>
      </w:r>
      <w:r w:rsidR="000E669E" w:rsidRPr="008F17A2">
        <w:rPr>
          <w:sz w:val="24"/>
        </w:rPr>
        <w:t>en el</w:t>
      </w:r>
      <w:r w:rsidR="00307CB8" w:rsidRPr="008F17A2">
        <w:rPr>
          <w:sz w:val="24"/>
        </w:rPr>
        <w:t xml:space="preserve"> país, mediante los modelos aplicados y durante los per</w:t>
      </w:r>
      <w:r w:rsidR="000E669E" w:rsidRPr="008F17A2">
        <w:rPr>
          <w:sz w:val="24"/>
        </w:rPr>
        <w:t>i</w:t>
      </w:r>
      <w:r w:rsidR="00307CB8" w:rsidRPr="008F17A2">
        <w:rPr>
          <w:sz w:val="24"/>
        </w:rPr>
        <w:t>odos analizados</w:t>
      </w:r>
      <w:r w:rsidR="007D534F" w:rsidRPr="008F17A2">
        <w:rPr>
          <w:sz w:val="24"/>
        </w:rPr>
        <w:t xml:space="preserve"> no se presenta una </w:t>
      </w:r>
      <w:r w:rsidR="00307CB8" w:rsidRPr="008F17A2">
        <w:rPr>
          <w:sz w:val="24"/>
        </w:rPr>
        <w:t>influencia negativa</w:t>
      </w:r>
      <w:r w:rsidR="007D534F" w:rsidRPr="008F17A2">
        <w:rPr>
          <w:sz w:val="24"/>
        </w:rPr>
        <w:t xml:space="preserve"> ante la IED</w:t>
      </w:r>
      <w:r w:rsidRPr="008F17A2">
        <w:rPr>
          <w:sz w:val="24"/>
        </w:rPr>
        <w:t>, lo que significa</w:t>
      </w:r>
      <w:r w:rsidR="000E669E" w:rsidRPr="008F17A2">
        <w:rPr>
          <w:sz w:val="24"/>
        </w:rPr>
        <w:t>,</w:t>
      </w:r>
      <w:r w:rsidRPr="008F17A2">
        <w:rPr>
          <w:sz w:val="24"/>
        </w:rPr>
        <w:t xml:space="preserve"> por un lado, que</w:t>
      </w:r>
      <w:r w:rsidR="007D534F" w:rsidRPr="008F17A2">
        <w:rPr>
          <w:sz w:val="24"/>
        </w:rPr>
        <w:t xml:space="preserve"> para los inversionistas extranjeros no ha sido un factor muy relevante, debido en parte a la certeza que el gobierno mexicano </w:t>
      </w:r>
      <w:r w:rsidRPr="008F17A2">
        <w:rPr>
          <w:sz w:val="24"/>
        </w:rPr>
        <w:t xml:space="preserve">otorga a las inversiones extranjeras mediante la firma de los Acuerdos de Protección y Promoción Recíproca de inversión (APPRIs) y los Tratados de Libre Comercio que contemplan una cláusula de tratamiento a la IED. Por otro lado, son relativamente pocos los años </w:t>
      </w:r>
      <w:r w:rsidR="000E669E" w:rsidRPr="008F17A2">
        <w:rPr>
          <w:sz w:val="24"/>
        </w:rPr>
        <w:t>registrados</w:t>
      </w:r>
      <w:r w:rsidRPr="008F17A2">
        <w:rPr>
          <w:sz w:val="24"/>
        </w:rPr>
        <w:t xml:space="preserve"> con mayores índices de inestabilidad social, lo que supone que aún no alcanza a ser lo suficiente significativo </w:t>
      </w:r>
      <w:r w:rsidR="000E669E" w:rsidRPr="008F17A2">
        <w:rPr>
          <w:sz w:val="24"/>
        </w:rPr>
        <w:t>su</w:t>
      </w:r>
      <w:r w:rsidRPr="008F17A2">
        <w:rPr>
          <w:sz w:val="24"/>
        </w:rPr>
        <w:t xml:space="preserve"> efecto como para que se vea reflejado en los resultados. </w:t>
      </w:r>
    </w:p>
    <w:p w:rsidR="00307CB8" w:rsidRPr="00DE7E31" w:rsidRDefault="00CF6B4C" w:rsidP="008F17A2">
      <w:pPr>
        <w:spacing w:line="360" w:lineRule="auto"/>
        <w:jc w:val="both"/>
        <w:rPr>
          <w:rFonts w:ascii="Arial" w:hAnsi="Arial" w:cs="Arial"/>
          <w:sz w:val="24"/>
        </w:rPr>
      </w:pPr>
      <w:r w:rsidRPr="008F17A2">
        <w:rPr>
          <w:sz w:val="24"/>
        </w:rPr>
        <w:t>Al p</w:t>
      </w:r>
      <w:r w:rsidR="005E5D0B" w:rsidRPr="008F17A2">
        <w:rPr>
          <w:sz w:val="24"/>
        </w:rPr>
        <w:t>arece</w:t>
      </w:r>
      <w:r w:rsidRPr="008F17A2">
        <w:rPr>
          <w:sz w:val="24"/>
        </w:rPr>
        <w:t>r</w:t>
      </w:r>
      <w:r w:rsidR="00256F4E" w:rsidRPr="008F17A2">
        <w:rPr>
          <w:sz w:val="24"/>
        </w:rPr>
        <w:t xml:space="preserve"> </w:t>
      </w:r>
      <w:r w:rsidR="005E5D0B" w:rsidRPr="008F17A2">
        <w:rPr>
          <w:sz w:val="24"/>
        </w:rPr>
        <w:t xml:space="preserve">los factores administrativos </w:t>
      </w:r>
      <w:r w:rsidRPr="008F17A2">
        <w:rPr>
          <w:sz w:val="24"/>
        </w:rPr>
        <w:t xml:space="preserve">son </w:t>
      </w:r>
      <w:r w:rsidR="00307CB8" w:rsidRPr="008F17A2">
        <w:rPr>
          <w:sz w:val="24"/>
        </w:rPr>
        <w:t>secundarios para los inversionistas extranjeros</w:t>
      </w:r>
      <w:r w:rsidRPr="008F17A2">
        <w:rPr>
          <w:sz w:val="24"/>
        </w:rPr>
        <w:t>;</w:t>
      </w:r>
      <w:r w:rsidR="00307CB8" w:rsidRPr="008F17A2">
        <w:rPr>
          <w:sz w:val="24"/>
        </w:rPr>
        <w:t xml:space="preserve"> el que no exista transparencia y se registren altos niveles de corrupción en el país, o que las instituciones públicas no sean consideradas eficientes y eficaces, siempre que sus objetivos no sean afectados</w:t>
      </w:r>
      <w:r w:rsidR="005E5D0B" w:rsidRPr="008F17A2">
        <w:rPr>
          <w:sz w:val="24"/>
        </w:rPr>
        <w:t xml:space="preserve">, no </w:t>
      </w:r>
      <w:r w:rsidRPr="008F17A2">
        <w:rPr>
          <w:sz w:val="24"/>
        </w:rPr>
        <w:t>es algo</w:t>
      </w:r>
      <w:r w:rsidR="005E5D0B" w:rsidRPr="008F17A2">
        <w:rPr>
          <w:sz w:val="24"/>
        </w:rPr>
        <w:t xml:space="preserve"> que impacte de manera directa las decisiones de invertir</w:t>
      </w:r>
      <w:r w:rsidR="00307CB8" w:rsidRPr="008F17A2">
        <w:rPr>
          <w:sz w:val="24"/>
        </w:rPr>
        <w:t>.</w:t>
      </w:r>
      <w:r w:rsidR="00307CB8" w:rsidRPr="00DE7E31">
        <w:rPr>
          <w:rFonts w:ascii="Arial" w:hAnsi="Arial" w:cs="Arial"/>
          <w:sz w:val="24"/>
        </w:rPr>
        <w:t xml:space="preserve"> </w:t>
      </w:r>
    </w:p>
    <w:p w:rsidR="00307CB8" w:rsidRPr="00DE7E31" w:rsidRDefault="00620A23" w:rsidP="006C2E9D">
      <w:pPr>
        <w:spacing w:line="480" w:lineRule="auto"/>
        <w:jc w:val="both"/>
        <w:rPr>
          <w:rFonts w:ascii="Arial" w:hAnsi="Arial" w:cs="Arial"/>
          <w:b/>
          <w:sz w:val="24"/>
        </w:rPr>
      </w:pPr>
      <w:r w:rsidRPr="00DE7E31">
        <w:rPr>
          <w:rFonts w:ascii="Arial" w:hAnsi="Arial" w:cs="Arial"/>
          <w:b/>
          <w:sz w:val="24"/>
        </w:rPr>
        <w:t>CONCLUSIONES</w:t>
      </w:r>
    </w:p>
    <w:p w:rsidR="00307CB8" w:rsidRPr="008F17A2" w:rsidRDefault="00307CB8" w:rsidP="008F17A2">
      <w:pPr>
        <w:spacing w:line="360" w:lineRule="auto"/>
        <w:jc w:val="both"/>
        <w:rPr>
          <w:sz w:val="24"/>
        </w:rPr>
      </w:pPr>
      <w:r w:rsidRPr="008F17A2">
        <w:rPr>
          <w:sz w:val="24"/>
        </w:rPr>
        <w:t xml:space="preserve">En la presente investigación se han estudiado los factores que inciden en mayor medida en la determinación </w:t>
      </w:r>
      <w:r w:rsidR="00AC7274" w:rsidRPr="008F17A2">
        <w:rPr>
          <w:sz w:val="24"/>
        </w:rPr>
        <w:t xml:space="preserve">de la localización de la IED. </w:t>
      </w:r>
      <w:r w:rsidRPr="008F17A2">
        <w:rPr>
          <w:sz w:val="24"/>
        </w:rPr>
        <w:t>Para ello, se construyeron seis modelos de datos de panel (corte transversal y longitudinal) con efectos fijos y efectos aleatorios, con información de las 32 entidades federativas.</w:t>
      </w:r>
    </w:p>
    <w:p w:rsidR="00307CB8" w:rsidRPr="008F17A2" w:rsidRDefault="00307CB8" w:rsidP="008F17A2">
      <w:pPr>
        <w:spacing w:line="360" w:lineRule="auto"/>
        <w:jc w:val="both"/>
        <w:rPr>
          <w:sz w:val="24"/>
        </w:rPr>
      </w:pPr>
      <w:r w:rsidRPr="008F17A2">
        <w:rPr>
          <w:sz w:val="24"/>
        </w:rPr>
        <w:t>El presente análisis se centró en identificar los factores económicos, políticos, sociales y administrativos que tienen mayor influencia sob</w:t>
      </w:r>
      <w:r w:rsidR="00E8052F" w:rsidRPr="008F17A2">
        <w:rPr>
          <w:sz w:val="24"/>
        </w:rPr>
        <w:t>re la IED en México durante 1999</w:t>
      </w:r>
      <w:r w:rsidR="00D51F1C" w:rsidRPr="008F17A2">
        <w:rPr>
          <w:sz w:val="24"/>
        </w:rPr>
        <w:t>-2013</w:t>
      </w:r>
      <w:r w:rsidRPr="008F17A2">
        <w:rPr>
          <w:sz w:val="24"/>
        </w:rPr>
        <w:t>.</w:t>
      </w:r>
    </w:p>
    <w:p w:rsidR="00307CB8" w:rsidRPr="008F17A2" w:rsidRDefault="00307CB8" w:rsidP="008F17A2">
      <w:pPr>
        <w:spacing w:line="360" w:lineRule="auto"/>
        <w:jc w:val="both"/>
        <w:rPr>
          <w:sz w:val="24"/>
        </w:rPr>
      </w:pPr>
      <w:r w:rsidRPr="008F17A2">
        <w:rPr>
          <w:sz w:val="24"/>
        </w:rPr>
        <w:lastRenderedPageBreak/>
        <w:t>De acuerdo a los resultados obtenidos, los factores económicos tienen gran influencia sobre la IED que ingres</w:t>
      </w:r>
      <w:r w:rsidR="004B0E0A" w:rsidRPr="008F17A2">
        <w:rPr>
          <w:sz w:val="24"/>
        </w:rPr>
        <w:t>a</w:t>
      </w:r>
      <w:r w:rsidRPr="008F17A2">
        <w:rPr>
          <w:sz w:val="24"/>
        </w:rPr>
        <w:t xml:space="preserve"> al país; debido a la gran apertura de la economía hacia el exterior, las cantidades de flujos de inversiones que ingresan o se retiran del país dependen en gran parte de los sucesos internacionales, principalmente de la economía </w:t>
      </w:r>
      <w:r w:rsidR="004B0E0A" w:rsidRPr="008F17A2">
        <w:rPr>
          <w:sz w:val="24"/>
        </w:rPr>
        <w:t>e</w:t>
      </w:r>
      <w:r w:rsidRPr="008F17A2">
        <w:rPr>
          <w:sz w:val="24"/>
        </w:rPr>
        <w:t xml:space="preserve">stadounidense, siendo estos factores </w:t>
      </w:r>
      <w:r w:rsidR="004B0E0A" w:rsidRPr="008F17A2">
        <w:rPr>
          <w:sz w:val="24"/>
        </w:rPr>
        <w:t xml:space="preserve">importantes </w:t>
      </w:r>
      <w:r w:rsidRPr="008F17A2">
        <w:rPr>
          <w:sz w:val="24"/>
        </w:rPr>
        <w:t xml:space="preserve">para el PIB nacional. El nivel salarial al igual que el PIB son variables que han sido utilizadas para medir su influencia sobre la determinación de la IED. El desarrollo de la infraestructura es otra de las variables que demostró tener una alta influencia sobre la determinación de la IED en México. </w:t>
      </w:r>
    </w:p>
    <w:p w:rsidR="00307CB8" w:rsidRPr="008F17A2" w:rsidRDefault="00307CB8" w:rsidP="008F17A2">
      <w:pPr>
        <w:spacing w:line="360" w:lineRule="auto"/>
        <w:jc w:val="both"/>
        <w:rPr>
          <w:sz w:val="24"/>
        </w:rPr>
      </w:pPr>
      <w:r w:rsidRPr="008F17A2">
        <w:rPr>
          <w:sz w:val="24"/>
        </w:rPr>
        <w:t xml:space="preserve">En los modelos presentados se detectaron factores sociales y administrativos de influencia con la IED, no obstante, </w:t>
      </w:r>
      <w:r w:rsidR="001D3285" w:rsidRPr="008F17A2">
        <w:rPr>
          <w:sz w:val="24"/>
        </w:rPr>
        <w:t>dichos</w:t>
      </w:r>
      <w:r w:rsidRPr="008F17A2">
        <w:rPr>
          <w:sz w:val="24"/>
        </w:rPr>
        <w:t xml:space="preserve"> resultados carecen de significancia en el modelo general, por lo que de acuerdo a </w:t>
      </w:r>
      <w:r w:rsidR="001D3285" w:rsidRPr="008F17A2">
        <w:rPr>
          <w:sz w:val="24"/>
        </w:rPr>
        <w:t>estos</w:t>
      </w:r>
      <w:r w:rsidRPr="008F17A2">
        <w:rPr>
          <w:sz w:val="24"/>
        </w:rPr>
        <w:t>, a diferencia de lo que podría creerse, en su mayoría los factores políticos, sociales y administrativos no resultaron ser relevantes en la de</w:t>
      </w:r>
      <w:r w:rsidR="00D51F1C" w:rsidRPr="008F17A2">
        <w:rPr>
          <w:sz w:val="24"/>
        </w:rPr>
        <w:t xml:space="preserve">terminación de la IED en México, al menos durante el periodo de estudio y con los indicadores considerados. </w:t>
      </w:r>
    </w:p>
    <w:p w:rsidR="00307CB8" w:rsidRPr="008F17A2" w:rsidRDefault="00307CB8" w:rsidP="008F17A2">
      <w:pPr>
        <w:spacing w:line="360" w:lineRule="auto"/>
        <w:jc w:val="both"/>
        <w:rPr>
          <w:sz w:val="24"/>
        </w:rPr>
      </w:pPr>
      <w:r w:rsidRPr="008F17A2">
        <w:rPr>
          <w:sz w:val="24"/>
        </w:rPr>
        <w:t>La variable ficticia DF carece de significancia en los modelos</w:t>
      </w:r>
      <w:r w:rsidR="001D3285" w:rsidRPr="008F17A2">
        <w:rPr>
          <w:sz w:val="24"/>
        </w:rPr>
        <w:t>,</w:t>
      </w:r>
      <w:r w:rsidRPr="008F17A2">
        <w:rPr>
          <w:sz w:val="24"/>
        </w:rPr>
        <w:t xml:space="preserve"> por lo que no se puede </w:t>
      </w:r>
      <w:r w:rsidR="001D3285" w:rsidRPr="008F17A2">
        <w:rPr>
          <w:sz w:val="24"/>
        </w:rPr>
        <w:t xml:space="preserve">llegar a una conclusión </w:t>
      </w:r>
      <w:r w:rsidRPr="008F17A2">
        <w:rPr>
          <w:sz w:val="24"/>
        </w:rPr>
        <w:t>al respecto. Las variables ficticias frontera y costa son consideradas en algunos modelos variables de influencia sobre la IED. Por su parte, la variable puertos presenta una influencia inversa a la IED, por lo que para los modelos que la incluyen</w:t>
      </w:r>
      <w:r w:rsidR="001D3285" w:rsidRPr="008F17A2">
        <w:rPr>
          <w:sz w:val="24"/>
        </w:rPr>
        <w:t xml:space="preserve"> dicha</w:t>
      </w:r>
      <w:r w:rsidRPr="008F17A2">
        <w:rPr>
          <w:sz w:val="24"/>
        </w:rPr>
        <w:t xml:space="preserve"> variable ficticia no alcanza a representar el efecto que tienen los estados con puertos</w:t>
      </w:r>
      <w:r w:rsidR="001D3285" w:rsidRPr="008F17A2">
        <w:rPr>
          <w:sz w:val="24"/>
        </w:rPr>
        <w:t xml:space="preserve"> en relación con</w:t>
      </w:r>
      <w:r w:rsidRPr="008F17A2">
        <w:rPr>
          <w:sz w:val="24"/>
        </w:rPr>
        <w:t xml:space="preserve"> la facilitación de la transportación de insumos y bienes finales de las empresas con IED.  </w:t>
      </w:r>
    </w:p>
    <w:p w:rsidR="00307CB8" w:rsidRPr="006700E5" w:rsidRDefault="00307CB8" w:rsidP="008F17A2">
      <w:pPr>
        <w:spacing w:line="360" w:lineRule="auto"/>
        <w:jc w:val="both"/>
        <w:rPr>
          <w:rFonts w:ascii="Arial" w:hAnsi="Arial" w:cs="Arial"/>
          <w:sz w:val="24"/>
        </w:rPr>
      </w:pPr>
      <w:r w:rsidRPr="008F17A2">
        <w:rPr>
          <w:sz w:val="24"/>
        </w:rPr>
        <w:t xml:space="preserve">Finalmente, las variables de tipo económico </w:t>
      </w:r>
      <w:r w:rsidR="001D3285" w:rsidRPr="008F17A2">
        <w:rPr>
          <w:sz w:val="24"/>
        </w:rPr>
        <w:t xml:space="preserve">son </w:t>
      </w:r>
      <w:r w:rsidRPr="008F17A2">
        <w:rPr>
          <w:sz w:val="24"/>
        </w:rPr>
        <w:t>las que mostraron mayor influencia</w:t>
      </w:r>
      <w:r w:rsidR="00992EEB" w:rsidRPr="008F17A2">
        <w:rPr>
          <w:sz w:val="24"/>
        </w:rPr>
        <w:t xml:space="preserve"> y nivel de significancia</w:t>
      </w:r>
      <w:r w:rsidRPr="008F17A2">
        <w:rPr>
          <w:sz w:val="24"/>
        </w:rPr>
        <w:t xml:space="preserve"> sobre la determinación de la IED en México durante el periodo de estudio</w:t>
      </w:r>
      <w:r w:rsidR="00992EEB" w:rsidRPr="008F17A2">
        <w:rPr>
          <w:sz w:val="24"/>
        </w:rPr>
        <w:t xml:space="preserve"> y con los indicadores considerados</w:t>
      </w:r>
      <w:r w:rsidRPr="008F17A2">
        <w:rPr>
          <w:sz w:val="24"/>
        </w:rPr>
        <w:t>.</w:t>
      </w:r>
      <w:r w:rsidR="00F02EF8" w:rsidRPr="008F17A2">
        <w:rPr>
          <w:sz w:val="24"/>
        </w:rPr>
        <w:t xml:space="preserve"> Teóricamente, los factores económicos juegan un papel relevante en la atracción de IED. En México, las políticas implementadas para la atracción de IED se han centrado en la firma de </w:t>
      </w:r>
      <w:r w:rsidR="001D3285" w:rsidRPr="008F17A2">
        <w:rPr>
          <w:sz w:val="24"/>
        </w:rPr>
        <w:t>a</w:t>
      </w:r>
      <w:r w:rsidR="00F02EF8" w:rsidRPr="008F17A2">
        <w:rPr>
          <w:sz w:val="24"/>
        </w:rPr>
        <w:t xml:space="preserve">cuerdos </w:t>
      </w:r>
      <w:r w:rsidR="001D3285" w:rsidRPr="008F17A2">
        <w:rPr>
          <w:sz w:val="24"/>
        </w:rPr>
        <w:t>i</w:t>
      </w:r>
      <w:r w:rsidR="00F02EF8" w:rsidRPr="008F17A2">
        <w:rPr>
          <w:sz w:val="24"/>
        </w:rPr>
        <w:t xml:space="preserve">nternacionales de </w:t>
      </w:r>
      <w:r w:rsidR="001D3285" w:rsidRPr="008F17A2">
        <w:rPr>
          <w:sz w:val="24"/>
        </w:rPr>
        <w:t>c</w:t>
      </w:r>
      <w:r w:rsidR="00F02EF8" w:rsidRPr="008F17A2">
        <w:rPr>
          <w:sz w:val="24"/>
        </w:rPr>
        <w:t xml:space="preserve">omercio e inversión que garanticen protección y estabilidad a los inversionistas extranjeros, mientras que las políticas estatales </w:t>
      </w:r>
      <w:r w:rsidR="00BA0BF2" w:rsidRPr="008F17A2">
        <w:rPr>
          <w:sz w:val="24"/>
        </w:rPr>
        <w:t xml:space="preserve">se centran en el crecimiento y desarrollo económico, </w:t>
      </w:r>
      <w:r w:rsidR="001D3285" w:rsidRPr="008F17A2">
        <w:rPr>
          <w:sz w:val="24"/>
        </w:rPr>
        <w:t xml:space="preserve">el </w:t>
      </w:r>
      <w:r w:rsidR="00BA0BF2" w:rsidRPr="008F17A2">
        <w:rPr>
          <w:sz w:val="24"/>
        </w:rPr>
        <w:t>incremento de la infraestructura, la generación de empleos y</w:t>
      </w:r>
      <w:r w:rsidR="001D3285" w:rsidRPr="008F17A2">
        <w:rPr>
          <w:sz w:val="24"/>
        </w:rPr>
        <w:t>,</w:t>
      </w:r>
      <w:r w:rsidR="00BA0BF2" w:rsidRPr="008F17A2">
        <w:rPr>
          <w:sz w:val="24"/>
        </w:rPr>
        <w:t xml:space="preserve"> más recientemente</w:t>
      </w:r>
      <w:r w:rsidR="001D3285" w:rsidRPr="008F17A2">
        <w:rPr>
          <w:sz w:val="24"/>
        </w:rPr>
        <w:t>,</w:t>
      </w:r>
      <w:r w:rsidR="00BA0BF2" w:rsidRPr="008F17A2">
        <w:rPr>
          <w:sz w:val="24"/>
        </w:rPr>
        <w:t xml:space="preserve"> en la estabilidad social.</w:t>
      </w:r>
      <w:r w:rsidR="00BA0BF2">
        <w:rPr>
          <w:rFonts w:ascii="Arial" w:hAnsi="Arial" w:cs="Arial"/>
          <w:sz w:val="24"/>
        </w:rPr>
        <w:t xml:space="preserve"> </w:t>
      </w:r>
      <w:r w:rsidR="00F02EF8">
        <w:rPr>
          <w:rFonts w:ascii="Arial" w:hAnsi="Arial" w:cs="Arial"/>
          <w:sz w:val="24"/>
        </w:rPr>
        <w:t xml:space="preserve">   </w:t>
      </w:r>
    </w:p>
    <w:p w:rsidR="008F17A2" w:rsidRDefault="008F17A2" w:rsidP="008F17A2">
      <w:pPr>
        <w:pStyle w:val="NormalWeb"/>
        <w:jc w:val="both"/>
        <w:rPr>
          <w:rFonts w:ascii="Calibri" w:eastAsia="Times New Roman" w:hAnsi="Calibri" w:cs="Calibri"/>
          <w:color w:val="7030A0"/>
          <w:sz w:val="28"/>
          <w:szCs w:val="28"/>
          <w:lang w:val="es-ES"/>
        </w:rPr>
      </w:pPr>
    </w:p>
    <w:p w:rsidR="00307CB8" w:rsidRPr="00DE7E31" w:rsidRDefault="008F17A2" w:rsidP="008F17A2">
      <w:pPr>
        <w:pStyle w:val="NormalWeb"/>
        <w:jc w:val="both"/>
        <w:rPr>
          <w:rFonts w:ascii="Arial" w:hAnsi="Arial" w:cs="Arial"/>
          <w:b/>
          <w:sz w:val="24"/>
        </w:rPr>
      </w:pPr>
      <w:r>
        <w:rPr>
          <w:rFonts w:ascii="Calibri" w:eastAsia="Times New Roman" w:hAnsi="Calibri" w:cs="Calibri"/>
          <w:color w:val="7030A0"/>
          <w:sz w:val="28"/>
          <w:szCs w:val="28"/>
          <w:lang w:val="es-ES"/>
        </w:rPr>
        <w:lastRenderedPageBreak/>
        <w:t>Bibliografía</w:t>
      </w:r>
      <w:r w:rsidR="00620A23" w:rsidRPr="00DE7E31">
        <w:rPr>
          <w:rFonts w:ascii="Arial" w:hAnsi="Arial" w:cs="Arial"/>
          <w:b/>
          <w:sz w:val="24"/>
        </w:rPr>
        <w:t xml:space="preserve"> </w:t>
      </w:r>
    </w:p>
    <w:p w:rsidR="00620A23" w:rsidRPr="008F17A2" w:rsidRDefault="005C7608"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Álvarez, C. M. (2003). </w:t>
      </w:r>
      <w:r w:rsidR="005200D1" w:rsidRPr="008F17A2">
        <w:rPr>
          <w:rFonts w:eastAsia="Calibri"/>
          <w:color w:val="auto"/>
          <w:spacing w:val="0"/>
          <w:sz w:val="24"/>
        </w:rPr>
        <w:t>“</w:t>
      </w:r>
      <w:r w:rsidRPr="008F17A2">
        <w:rPr>
          <w:rFonts w:eastAsia="Calibri"/>
          <w:color w:val="auto"/>
          <w:spacing w:val="0"/>
          <w:sz w:val="24"/>
        </w:rPr>
        <w:t>España en la senda del desarrollo de la inversión directa</w:t>
      </w:r>
      <w:r w:rsidR="005200D1" w:rsidRPr="008F17A2">
        <w:rPr>
          <w:rFonts w:eastAsia="Calibri"/>
          <w:color w:val="auto"/>
          <w:spacing w:val="0"/>
          <w:sz w:val="24"/>
        </w:rPr>
        <w:t>”</w:t>
      </w:r>
      <w:r w:rsidR="00620A23" w:rsidRPr="008F17A2">
        <w:rPr>
          <w:rFonts w:eastAsia="Calibri"/>
          <w:color w:val="auto"/>
          <w:spacing w:val="0"/>
          <w:sz w:val="24"/>
        </w:rPr>
        <w:t xml:space="preserve">. </w:t>
      </w:r>
      <w:r w:rsidRPr="008F17A2">
        <w:rPr>
          <w:rFonts w:eastAsia="Calibri"/>
          <w:color w:val="auto"/>
          <w:spacing w:val="0"/>
          <w:sz w:val="24"/>
        </w:rPr>
        <w:t>Revista asturiana de economía - rae n</w:t>
      </w:r>
      <w:r w:rsidR="005200D1" w:rsidRPr="008F17A2">
        <w:rPr>
          <w:rFonts w:eastAsia="Calibri"/>
          <w:color w:val="auto"/>
          <w:spacing w:val="0"/>
          <w:sz w:val="24"/>
        </w:rPr>
        <w:t>úm.</w:t>
      </w:r>
      <w:r w:rsidRPr="008F17A2">
        <w:rPr>
          <w:rFonts w:eastAsia="Calibri"/>
          <w:color w:val="auto"/>
          <w:spacing w:val="0"/>
          <w:sz w:val="24"/>
        </w:rPr>
        <w:t xml:space="preserve"> 26, </w:t>
      </w:r>
      <w:r w:rsidR="005200D1" w:rsidRPr="008F17A2">
        <w:rPr>
          <w:rFonts w:eastAsia="Calibri"/>
          <w:color w:val="auto"/>
          <w:spacing w:val="0"/>
          <w:sz w:val="24"/>
        </w:rPr>
        <w:t xml:space="preserve">pp. </w:t>
      </w:r>
      <w:r w:rsidRPr="008F17A2">
        <w:rPr>
          <w:rFonts w:eastAsia="Calibri"/>
          <w:color w:val="auto"/>
          <w:spacing w:val="0"/>
          <w:sz w:val="24"/>
        </w:rPr>
        <w:t>87-102.</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B</w:t>
      </w:r>
      <w:r w:rsidR="005C7608" w:rsidRPr="008F17A2">
        <w:rPr>
          <w:rFonts w:eastAsia="Calibri"/>
          <w:color w:val="auto"/>
          <w:spacing w:val="0"/>
          <w:sz w:val="24"/>
        </w:rPr>
        <w:t xml:space="preserve">altagi, </w:t>
      </w:r>
      <w:r w:rsidRPr="008F17A2">
        <w:rPr>
          <w:rFonts w:eastAsia="Calibri"/>
          <w:color w:val="auto"/>
          <w:spacing w:val="0"/>
          <w:sz w:val="24"/>
        </w:rPr>
        <w:t xml:space="preserve">Badi, H. Egger, Peter </w:t>
      </w:r>
      <w:r w:rsidR="00E26BDA" w:rsidRPr="008F17A2">
        <w:rPr>
          <w:rFonts w:eastAsia="Calibri"/>
          <w:color w:val="auto"/>
          <w:spacing w:val="0"/>
          <w:sz w:val="24"/>
        </w:rPr>
        <w:t>&amp;</w:t>
      </w:r>
      <w:r w:rsidRPr="008F17A2">
        <w:rPr>
          <w:rFonts w:eastAsia="Calibri"/>
          <w:color w:val="auto"/>
          <w:spacing w:val="0"/>
          <w:sz w:val="24"/>
        </w:rPr>
        <w:t xml:space="preserve"> Pfaffermayr Michael. December (2007). Estimating regional trade agreement effects on FDI in an interdependent world. Center for Policy Research Maxwell School of Citizenship and Public Affairs</w:t>
      </w:r>
      <w:r w:rsidR="00E26BDA" w:rsidRPr="008F17A2">
        <w:rPr>
          <w:rFonts w:eastAsia="Calibri"/>
          <w:color w:val="auto"/>
          <w:spacing w:val="0"/>
          <w:sz w:val="24"/>
        </w:rPr>
        <w:t>,</w:t>
      </w:r>
      <w:r w:rsidRPr="008F17A2">
        <w:rPr>
          <w:rFonts w:eastAsia="Calibri"/>
          <w:color w:val="auto"/>
          <w:spacing w:val="0"/>
          <w:sz w:val="24"/>
        </w:rPr>
        <w:t xml:space="preserve"> Syracuse University</w:t>
      </w:r>
      <w:r w:rsidR="00E26BDA" w:rsidRPr="008F17A2">
        <w:rPr>
          <w:rFonts w:eastAsia="Calibri"/>
          <w:color w:val="auto"/>
          <w:spacing w:val="0"/>
          <w:sz w:val="24"/>
        </w:rPr>
        <w:t>,</w:t>
      </w:r>
      <w:r w:rsidRPr="008F17A2">
        <w:rPr>
          <w:rFonts w:eastAsia="Calibri"/>
          <w:color w:val="auto"/>
          <w:spacing w:val="0"/>
          <w:sz w:val="24"/>
        </w:rPr>
        <w:t xml:space="preserve"> 426 Eggers Hall. </w:t>
      </w:r>
    </w:p>
    <w:p w:rsidR="005C7608"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Bidaurratzaga, E. </w:t>
      </w:r>
      <w:r w:rsidR="00E26BDA" w:rsidRPr="008F17A2">
        <w:rPr>
          <w:rFonts w:eastAsia="Calibri"/>
          <w:color w:val="auto"/>
          <w:spacing w:val="0"/>
          <w:sz w:val="24"/>
        </w:rPr>
        <w:t>&amp;</w:t>
      </w:r>
      <w:r w:rsidRPr="008F17A2">
        <w:rPr>
          <w:rFonts w:eastAsia="Calibri"/>
          <w:color w:val="auto"/>
          <w:spacing w:val="0"/>
          <w:sz w:val="24"/>
        </w:rPr>
        <w:t xml:space="preserve"> Zabalo. P.</w:t>
      </w:r>
      <w:r w:rsidR="00E26BDA" w:rsidRPr="008F17A2">
        <w:rPr>
          <w:rFonts w:eastAsia="Calibri"/>
          <w:color w:val="auto"/>
          <w:spacing w:val="0"/>
          <w:sz w:val="24"/>
        </w:rPr>
        <w:t xml:space="preserve"> (2012).</w:t>
      </w:r>
      <w:r w:rsidRPr="008F17A2">
        <w:rPr>
          <w:rFonts w:eastAsia="Calibri"/>
          <w:color w:val="auto"/>
          <w:spacing w:val="0"/>
          <w:sz w:val="24"/>
        </w:rPr>
        <w:t xml:space="preserve"> </w:t>
      </w:r>
      <w:r w:rsidR="005C7608" w:rsidRPr="008F17A2">
        <w:rPr>
          <w:rFonts w:eastAsia="Calibri"/>
          <w:color w:val="auto"/>
          <w:spacing w:val="0"/>
          <w:sz w:val="24"/>
        </w:rPr>
        <w:t>“</w:t>
      </w:r>
      <w:hyperlink r:id="rId13" w:history="1">
        <w:r w:rsidRPr="008F17A2">
          <w:rPr>
            <w:rFonts w:eastAsia="Calibri"/>
            <w:spacing w:val="0"/>
            <w:sz w:val="24"/>
          </w:rPr>
          <w:t>Los Acuerdos de Asociación de la UE con África y América Latina: La nueva apuesta europea por Tratados de Libre Comercio con cooperación</w:t>
        </w:r>
      </w:hyperlink>
      <w:r w:rsidR="005C7608" w:rsidRPr="008F17A2">
        <w:rPr>
          <w:rFonts w:eastAsia="Calibri"/>
          <w:color w:val="auto"/>
          <w:spacing w:val="0"/>
          <w:sz w:val="24"/>
        </w:rPr>
        <w:t xml:space="preserve">”. </w:t>
      </w:r>
      <w:r w:rsidRPr="008F17A2">
        <w:rPr>
          <w:rFonts w:eastAsia="Calibri"/>
          <w:color w:val="auto"/>
          <w:spacing w:val="0"/>
          <w:sz w:val="24"/>
        </w:rPr>
        <w:t>Estudios de economía aplicada: La cooperación al desarrollo frente a los retos de la economí</w:t>
      </w:r>
      <w:r w:rsidRPr="008F17A2">
        <w:rPr>
          <w:rFonts w:eastAsia="Calibri"/>
          <w:color w:val="auto"/>
          <w:spacing w:val="0"/>
          <w:sz w:val="24"/>
        </w:rPr>
        <w:softHyphen/>
        <w:t>a global</w:t>
      </w:r>
      <w:r w:rsidR="00E26BDA" w:rsidRPr="008F17A2">
        <w:rPr>
          <w:rFonts w:eastAsia="Calibri"/>
          <w:color w:val="auto"/>
          <w:spacing w:val="0"/>
          <w:sz w:val="24"/>
        </w:rPr>
        <w:t>,</w:t>
      </w:r>
      <w:r w:rsidRPr="008F17A2">
        <w:rPr>
          <w:rFonts w:eastAsia="Calibri"/>
          <w:color w:val="auto"/>
          <w:spacing w:val="0"/>
          <w:sz w:val="24"/>
        </w:rPr>
        <w:t xml:space="preserve"> </w:t>
      </w:r>
      <w:hyperlink r:id="rId14" w:history="1">
        <w:r w:rsidRPr="008F17A2">
          <w:rPr>
            <w:rFonts w:eastAsia="Calibri"/>
            <w:spacing w:val="0"/>
            <w:sz w:val="24"/>
          </w:rPr>
          <w:t xml:space="preserve">Volúmenes 30-3. </w:t>
        </w:r>
        <w:r w:rsidR="00740383" w:rsidRPr="008F17A2">
          <w:rPr>
            <w:rFonts w:eastAsia="Calibri"/>
            <w:spacing w:val="0"/>
            <w:sz w:val="24"/>
          </w:rPr>
          <w:t>d</w:t>
        </w:r>
        <w:r w:rsidRPr="008F17A2">
          <w:rPr>
            <w:rFonts w:eastAsia="Calibri"/>
            <w:spacing w:val="0"/>
            <w:sz w:val="24"/>
          </w:rPr>
          <w:t>iciembre</w:t>
        </w:r>
        <w:r w:rsidR="00E26BDA" w:rsidRPr="008F17A2">
          <w:rPr>
            <w:rFonts w:eastAsia="Calibri"/>
            <w:spacing w:val="0"/>
            <w:sz w:val="24"/>
          </w:rPr>
          <w:t>,</w:t>
        </w:r>
      </w:hyperlink>
      <w:r w:rsidR="00E26BDA" w:rsidRPr="008F17A2">
        <w:rPr>
          <w:rFonts w:eastAsia="Calibri"/>
          <w:spacing w:val="0"/>
          <w:sz w:val="24"/>
        </w:rPr>
        <w:t xml:space="preserve"> p</w:t>
      </w:r>
      <w:r w:rsidR="005C7608" w:rsidRPr="008F17A2">
        <w:rPr>
          <w:rFonts w:eastAsia="Calibri"/>
          <w:color w:val="auto"/>
          <w:spacing w:val="0"/>
          <w:sz w:val="24"/>
        </w:rPr>
        <w:t>p. 837-860.</w:t>
      </w:r>
    </w:p>
    <w:p w:rsidR="00B86207"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Blomström, Globerman, Steven </w:t>
      </w:r>
      <w:r w:rsidR="00740383" w:rsidRPr="008F17A2">
        <w:rPr>
          <w:rFonts w:eastAsia="Calibri"/>
          <w:color w:val="auto"/>
          <w:spacing w:val="0"/>
          <w:sz w:val="24"/>
        </w:rPr>
        <w:t>&amp;</w:t>
      </w:r>
      <w:r w:rsidRPr="008F17A2">
        <w:rPr>
          <w:rFonts w:eastAsia="Calibri"/>
          <w:color w:val="auto"/>
          <w:spacing w:val="0"/>
          <w:sz w:val="24"/>
        </w:rPr>
        <w:t xml:space="preserve"> </w:t>
      </w:r>
      <w:r w:rsidR="00740383" w:rsidRPr="008F17A2">
        <w:rPr>
          <w:rFonts w:eastAsia="Calibri"/>
          <w:color w:val="auto"/>
          <w:spacing w:val="0"/>
          <w:sz w:val="24"/>
        </w:rPr>
        <w:t>K</w:t>
      </w:r>
      <w:r w:rsidRPr="008F17A2">
        <w:rPr>
          <w:rFonts w:eastAsia="Calibri"/>
          <w:color w:val="auto"/>
          <w:spacing w:val="0"/>
          <w:sz w:val="24"/>
        </w:rPr>
        <w:t>okko</w:t>
      </w:r>
      <w:r w:rsidR="00740383" w:rsidRPr="008F17A2">
        <w:rPr>
          <w:rFonts w:eastAsia="Calibri"/>
          <w:color w:val="auto"/>
          <w:spacing w:val="0"/>
          <w:sz w:val="24"/>
        </w:rPr>
        <w:t>, A</w:t>
      </w:r>
      <w:r w:rsidRPr="008F17A2">
        <w:rPr>
          <w:rFonts w:eastAsia="Calibri"/>
          <w:color w:val="auto"/>
          <w:spacing w:val="0"/>
          <w:sz w:val="24"/>
        </w:rPr>
        <w:t xml:space="preserve">ri (1999). </w:t>
      </w:r>
      <w:r w:rsidR="005C7608" w:rsidRPr="008F17A2">
        <w:rPr>
          <w:rFonts w:eastAsia="Calibri"/>
          <w:color w:val="auto"/>
          <w:spacing w:val="0"/>
          <w:sz w:val="24"/>
        </w:rPr>
        <w:t>“</w:t>
      </w:r>
      <w:r w:rsidRPr="008F17A2">
        <w:rPr>
          <w:rFonts w:eastAsia="Calibri"/>
          <w:color w:val="auto"/>
          <w:spacing w:val="0"/>
          <w:sz w:val="24"/>
        </w:rPr>
        <w:t>The determinants of host country spillovers from foreign direct investment: review and synthesis of the literature</w:t>
      </w:r>
      <w:r w:rsidR="005C7608" w:rsidRPr="008F17A2">
        <w:rPr>
          <w:rFonts w:eastAsia="Calibri"/>
          <w:color w:val="auto"/>
          <w:spacing w:val="0"/>
          <w:sz w:val="24"/>
        </w:rPr>
        <w:t>”</w:t>
      </w:r>
      <w:r w:rsidRPr="008F17A2">
        <w:rPr>
          <w:rFonts w:eastAsia="Calibri"/>
          <w:color w:val="auto"/>
          <w:spacing w:val="0"/>
          <w:sz w:val="24"/>
        </w:rPr>
        <w:t>. The European institutes of Japanese studies. Wo</w:t>
      </w:r>
      <w:r w:rsidR="00740383" w:rsidRPr="008F17A2">
        <w:rPr>
          <w:rFonts w:eastAsia="Calibri"/>
          <w:color w:val="auto"/>
          <w:spacing w:val="0"/>
          <w:sz w:val="24"/>
        </w:rPr>
        <w:t>r</w:t>
      </w:r>
      <w:r w:rsidRPr="008F17A2">
        <w:rPr>
          <w:rFonts w:eastAsia="Calibri"/>
          <w:color w:val="auto"/>
          <w:spacing w:val="0"/>
          <w:sz w:val="24"/>
        </w:rPr>
        <w:t xml:space="preserve">king paper. No. 76. </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Busse, Matthias (2004). “Transnational Corporations and Repression of Political Rights and Civil Liberties: An Empirical Analysis”</w:t>
      </w:r>
      <w:r w:rsidR="00406AC1" w:rsidRPr="008F17A2">
        <w:rPr>
          <w:rFonts w:eastAsia="Calibri"/>
          <w:color w:val="auto"/>
          <w:spacing w:val="0"/>
          <w:sz w:val="24"/>
        </w:rPr>
        <w:t>.</w:t>
      </w:r>
      <w:r w:rsidRPr="008F17A2">
        <w:rPr>
          <w:rFonts w:eastAsia="Calibri"/>
          <w:color w:val="auto"/>
          <w:spacing w:val="0"/>
          <w:sz w:val="24"/>
        </w:rPr>
        <w:t xml:space="preserve"> Kyklos </w:t>
      </w:r>
      <w:r w:rsidR="005C7608" w:rsidRPr="008F17A2">
        <w:rPr>
          <w:rFonts w:eastAsia="Calibri"/>
          <w:color w:val="auto"/>
          <w:spacing w:val="0"/>
          <w:sz w:val="24"/>
        </w:rPr>
        <w:t>57</w:t>
      </w:r>
      <w:r w:rsidR="00406AC1" w:rsidRPr="008F17A2">
        <w:rPr>
          <w:rFonts w:eastAsia="Calibri"/>
          <w:color w:val="auto"/>
          <w:spacing w:val="0"/>
          <w:sz w:val="24"/>
        </w:rPr>
        <w:t xml:space="preserve">, pp. </w:t>
      </w:r>
      <w:r w:rsidR="005C7608" w:rsidRPr="008F17A2">
        <w:rPr>
          <w:rFonts w:eastAsia="Calibri"/>
          <w:color w:val="auto"/>
          <w:spacing w:val="0"/>
          <w:sz w:val="24"/>
        </w:rPr>
        <w:t>45-66.</w:t>
      </w:r>
    </w:p>
    <w:p w:rsidR="00506A05"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Busse, Matthias </w:t>
      </w:r>
      <w:r w:rsidR="00406AC1" w:rsidRPr="008F17A2">
        <w:rPr>
          <w:rFonts w:eastAsia="Calibri"/>
          <w:color w:val="auto"/>
          <w:spacing w:val="0"/>
          <w:sz w:val="24"/>
        </w:rPr>
        <w:t>&amp;</w:t>
      </w:r>
      <w:r w:rsidRPr="008F17A2">
        <w:rPr>
          <w:rFonts w:eastAsia="Calibri"/>
          <w:color w:val="auto"/>
          <w:spacing w:val="0"/>
          <w:sz w:val="24"/>
        </w:rPr>
        <w:t xml:space="preserve"> Carsten Hefeker. (2007). </w:t>
      </w:r>
      <w:r w:rsidR="005C7608" w:rsidRPr="008F17A2">
        <w:rPr>
          <w:rFonts w:eastAsia="Calibri"/>
          <w:color w:val="auto"/>
          <w:spacing w:val="0"/>
          <w:sz w:val="24"/>
        </w:rPr>
        <w:t>“</w:t>
      </w:r>
      <w:r w:rsidRPr="008F17A2">
        <w:rPr>
          <w:rFonts w:eastAsia="Calibri"/>
          <w:color w:val="auto"/>
          <w:spacing w:val="0"/>
          <w:sz w:val="24"/>
        </w:rPr>
        <w:t>Political Risk, Insitutions and Foregin Direct Investment</w:t>
      </w:r>
      <w:r w:rsidR="005C7608" w:rsidRPr="008F17A2">
        <w:rPr>
          <w:rFonts w:eastAsia="Calibri"/>
          <w:color w:val="auto"/>
          <w:spacing w:val="0"/>
          <w:sz w:val="24"/>
        </w:rPr>
        <w:t>”</w:t>
      </w:r>
      <w:r w:rsidRPr="008F17A2">
        <w:rPr>
          <w:rFonts w:eastAsia="Calibri"/>
          <w:color w:val="auto"/>
          <w:spacing w:val="0"/>
          <w:sz w:val="24"/>
        </w:rPr>
        <w:t>.  European Journal of Political Economy 23(2)</w:t>
      </w:r>
      <w:r w:rsidR="00406AC1" w:rsidRPr="008F17A2">
        <w:rPr>
          <w:rFonts w:eastAsia="Calibri"/>
          <w:color w:val="auto"/>
          <w:spacing w:val="0"/>
          <w:sz w:val="24"/>
        </w:rPr>
        <w:t>, pp.</w:t>
      </w:r>
      <w:r w:rsidRPr="008F17A2">
        <w:rPr>
          <w:rFonts w:eastAsia="Calibri"/>
          <w:color w:val="auto"/>
          <w:spacing w:val="0"/>
          <w:sz w:val="24"/>
        </w:rPr>
        <w:t xml:space="preserve"> 397-415.</w:t>
      </w:r>
    </w:p>
    <w:p w:rsidR="00896C1A" w:rsidRPr="008F17A2" w:rsidRDefault="00506A05"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Dunning </w:t>
      </w:r>
      <w:r w:rsidR="00A34C42" w:rsidRPr="008F17A2">
        <w:rPr>
          <w:rFonts w:eastAsia="Calibri"/>
          <w:color w:val="auto"/>
          <w:spacing w:val="0"/>
          <w:sz w:val="24"/>
        </w:rPr>
        <w:t xml:space="preserve">J. H. </w:t>
      </w:r>
      <w:r w:rsidR="00406AC1" w:rsidRPr="008F17A2">
        <w:rPr>
          <w:rFonts w:eastAsia="Calibri"/>
          <w:color w:val="auto"/>
          <w:spacing w:val="0"/>
          <w:sz w:val="24"/>
        </w:rPr>
        <w:t>&amp;</w:t>
      </w:r>
      <w:r w:rsidR="00896C1A" w:rsidRPr="008F17A2">
        <w:rPr>
          <w:rFonts w:eastAsia="Calibri"/>
          <w:color w:val="auto"/>
          <w:spacing w:val="0"/>
          <w:sz w:val="24"/>
        </w:rPr>
        <w:t xml:space="preserve"> Narula, R. (1998)  "Third World multinational revisited: New developments and theoretical implications" in Dunning, J.H. Globalization trade and foreign direct investment. Pergamon.</w:t>
      </w:r>
    </w:p>
    <w:p w:rsidR="00A34C42" w:rsidRPr="008F17A2" w:rsidRDefault="008F17A2" w:rsidP="008F17A2">
      <w:pPr>
        <w:spacing w:line="360" w:lineRule="auto"/>
        <w:ind w:left="993" w:hanging="993"/>
        <w:jc w:val="both"/>
        <w:rPr>
          <w:rFonts w:eastAsia="Calibri"/>
          <w:color w:val="auto"/>
          <w:spacing w:val="0"/>
          <w:sz w:val="24"/>
        </w:rPr>
      </w:pPr>
      <w:r>
        <w:rPr>
          <w:rFonts w:eastAsia="Calibri"/>
          <w:color w:val="auto"/>
          <w:spacing w:val="0"/>
          <w:sz w:val="24"/>
        </w:rPr>
        <w:t>Anónimo</w:t>
      </w:r>
      <w:r w:rsidR="00A34C42" w:rsidRPr="008F17A2">
        <w:rPr>
          <w:rFonts w:eastAsia="Calibri"/>
          <w:color w:val="auto"/>
          <w:spacing w:val="0"/>
          <w:sz w:val="24"/>
        </w:rPr>
        <w:t xml:space="preserve"> (2000). The eclectic paradigm as an envelope for economic and business theories of MNE activity.</w:t>
      </w:r>
      <w:r w:rsidR="00A34C42" w:rsidRPr="008F17A2">
        <w:rPr>
          <w:rFonts w:eastAsia="Calibri"/>
          <w:color w:val="auto"/>
          <w:spacing w:val="0"/>
        </w:rPr>
        <w:t> </w:t>
      </w:r>
      <w:r w:rsidR="00A34C42" w:rsidRPr="008F17A2">
        <w:rPr>
          <w:rFonts w:eastAsia="Calibri"/>
          <w:color w:val="auto"/>
          <w:spacing w:val="0"/>
          <w:sz w:val="24"/>
        </w:rPr>
        <w:t>International business review,</w:t>
      </w:r>
      <w:r w:rsidR="00A34C42" w:rsidRPr="008F17A2">
        <w:rPr>
          <w:rFonts w:eastAsia="Calibri"/>
          <w:color w:val="auto"/>
          <w:spacing w:val="0"/>
        </w:rPr>
        <w:t> </w:t>
      </w:r>
      <w:r w:rsidR="00A34C42" w:rsidRPr="008F17A2">
        <w:rPr>
          <w:rFonts w:eastAsia="Calibri"/>
          <w:color w:val="auto"/>
          <w:spacing w:val="0"/>
          <w:sz w:val="24"/>
        </w:rPr>
        <w:t xml:space="preserve">9(2), </w:t>
      </w:r>
      <w:r w:rsidR="00406AC1" w:rsidRPr="008F17A2">
        <w:rPr>
          <w:rFonts w:eastAsia="Calibri"/>
          <w:color w:val="auto"/>
          <w:spacing w:val="0"/>
          <w:sz w:val="24"/>
        </w:rPr>
        <w:t xml:space="preserve">pp. </w:t>
      </w:r>
      <w:r w:rsidR="00A34C42" w:rsidRPr="008F17A2">
        <w:rPr>
          <w:rFonts w:eastAsia="Calibri"/>
          <w:color w:val="auto"/>
          <w:spacing w:val="0"/>
          <w:sz w:val="24"/>
        </w:rPr>
        <w:t>163-190.</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P. J. Buckley (1997). International Production and Alternative Model of Trade. The Manchester School of Economics and Social Sciences</w:t>
      </w:r>
      <w:r w:rsidR="006F2BE4" w:rsidRPr="008F17A2">
        <w:rPr>
          <w:rFonts w:eastAsia="Calibri"/>
          <w:color w:val="auto"/>
          <w:spacing w:val="0"/>
          <w:sz w:val="24"/>
        </w:rPr>
        <w:t xml:space="preserve">. </w:t>
      </w:r>
    </w:p>
    <w:p w:rsidR="00406AC1" w:rsidRPr="008F17A2" w:rsidRDefault="00406AC1" w:rsidP="008F17A2">
      <w:pPr>
        <w:spacing w:line="360" w:lineRule="auto"/>
        <w:ind w:left="993" w:hanging="993"/>
        <w:jc w:val="both"/>
        <w:rPr>
          <w:rFonts w:eastAsia="Calibri"/>
          <w:color w:val="auto"/>
          <w:spacing w:val="0"/>
          <w:sz w:val="24"/>
        </w:rPr>
      </w:pPr>
    </w:p>
    <w:p w:rsidR="00506A05"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lastRenderedPageBreak/>
        <w:t>Dussel P.</w:t>
      </w:r>
      <w:r w:rsidR="00406AC1" w:rsidRPr="008F17A2">
        <w:rPr>
          <w:rFonts w:eastAsia="Calibri"/>
          <w:color w:val="auto"/>
          <w:spacing w:val="0"/>
          <w:sz w:val="24"/>
        </w:rPr>
        <w:t>;</w:t>
      </w:r>
      <w:r w:rsidRPr="008F17A2">
        <w:rPr>
          <w:rFonts w:eastAsia="Calibri"/>
          <w:color w:val="auto"/>
          <w:spacing w:val="0"/>
          <w:sz w:val="24"/>
        </w:rPr>
        <w:t xml:space="preserve"> E. Galindo P.</w:t>
      </w:r>
      <w:r w:rsidR="00406AC1" w:rsidRPr="008F17A2">
        <w:rPr>
          <w:rFonts w:eastAsia="Calibri"/>
          <w:color w:val="auto"/>
          <w:spacing w:val="0"/>
          <w:sz w:val="24"/>
        </w:rPr>
        <w:t>;</w:t>
      </w:r>
      <w:r w:rsidRPr="008F17A2">
        <w:rPr>
          <w:rFonts w:eastAsia="Calibri"/>
          <w:color w:val="auto"/>
          <w:spacing w:val="0"/>
          <w:sz w:val="24"/>
        </w:rPr>
        <w:t xml:space="preserve"> Loria E. </w:t>
      </w:r>
      <w:r w:rsidR="00406AC1" w:rsidRPr="008F17A2">
        <w:rPr>
          <w:rFonts w:eastAsia="Calibri"/>
          <w:color w:val="auto"/>
          <w:spacing w:val="0"/>
          <w:sz w:val="24"/>
        </w:rPr>
        <w:t>&amp;</w:t>
      </w:r>
      <w:r w:rsidRPr="008F17A2">
        <w:rPr>
          <w:rFonts w:eastAsia="Calibri"/>
          <w:color w:val="auto"/>
          <w:spacing w:val="0"/>
          <w:sz w:val="24"/>
        </w:rPr>
        <w:t xml:space="preserve"> Mortimore</w:t>
      </w:r>
      <w:r w:rsidR="00406AC1" w:rsidRPr="008F17A2">
        <w:rPr>
          <w:rFonts w:eastAsia="Calibri"/>
          <w:color w:val="auto"/>
          <w:spacing w:val="0"/>
          <w:sz w:val="24"/>
        </w:rPr>
        <w:t>,</w:t>
      </w:r>
      <w:r w:rsidRPr="008F17A2">
        <w:rPr>
          <w:rFonts w:eastAsia="Calibri"/>
          <w:color w:val="auto"/>
          <w:spacing w:val="0"/>
          <w:sz w:val="24"/>
        </w:rPr>
        <w:t xml:space="preserve"> M. (2007). Inversión extranjera directa en México: desempeño y potencial. Una perspectiva macro meso</w:t>
      </w:r>
      <w:r w:rsidR="00406AC1" w:rsidRPr="008F17A2">
        <w:rPr>
          <w:rFonts w:eastAsia="Calibri"/>
          <w:color w:val="auto"/>
          <w:spacing w:val="0"/>
          <w:sz w:val="24"/>
        </w:rPr>
        <w:t>,</w:t>
      </w:r>
      <w:r w:rsidRPr="008F17A2">
        <w:rPr>
          <w:rFonts w:eastAsia="Calibri"/>
          <w:color w:val="auto"/>
          <w:spacing w:val="0"/>
          <w:sz w:val="24"/>
        </w:rPr>
        <w:t xml:space="preserve"> micro y territorial. Editorial siglo XXI. UNAM. Facultad de Economía. Secret</w:t>
      </w:r>
      <w:r w:rsidR="00A34C42" w:rsidRPr="008F17A2">
        <w:rPr>
          <w:rFonts w:eastAsia="Calibri"/>
          <w:color w:val="auto"/>
          <w:spacing w:val="0"/>
          <w:sz w:val="24"/>
        </w:rPr>
        <w:t>aría de Economía</w:t>
      </w:r>
      <w:r w:rsidR="00406AC1" w:rsidRPr="008F17A2">
        <w:rPr>
          <w:rFonts w:eastAsia="Calibri"/>
          <w:color w:val="auto"/>
          <w:spacing w:val="0"/>
          <w:sz w:val="24"/>
        </w:rPr>
        <w:t>,</w:t>
      </w:r>
      <w:r w:rsidR="00A34C42" w:rsidRPr="008F17A2">
        <w:rPr>
          <w:rFonts w:eastAsia="Calibri"/>
          <w:color w:val="auto"/>
          <w:spacing w:val="0"/>
          <w:sz w:val="24"/>
        </w:rPr>
        <w:t xml:space="preserve"> México</w:t>
      </w:r>
      <w:r w:rsidR="00406AC1" w:rsidRPr="008F17A2">
        <w:rPr>
          <w:rFonts w:eastAsia="Calibri"/>
          <w:color w:val="auto"/>
          <w:spacing w:val="0"/>
          <w:sz w:val="24"/>
        </w:rPr>
        <w:t>,</w:t>
      </w:r>
      <w:r w:rsidR="00A34C42" w:rsidRPr="008F17A2">
        <w:rPr>
          <w:rFonts w:eastAsia="Calibri"/>
          <w:color w:val="auto"/>
          <w:spacing w:val="0"/>
          <w:sz w:val="24"/>
        </w:rPr>
        <w:t xml:space="preserve"> D.F. </w:t>
      </w:r>
    </w:p>
    <w:p w:rsidR="00506A05" w:rsidRPr="008F17A2" w:rsidRDefault="008F17A2" w:rsidP="008F17A2">
      <w:pPr>
        <w:spacing w:line="360" w:lineRule="auto"/>
        <w:ind w:left="993" w:hanging="993"/>
        <w:jc w:val="both"/>
        <w:rPr>
          <w:rFonts w:eastAsia="Calibri"/>
          <w:color w:val="auto"/>
          <w:spacing w:val="0"/>
          <w:sz w:val="24"/>
        </w:rPr>
      </w:pPr>
      <w:r>
        <w:rPr>
          <w:rFonts w:eastAsia="Calibri"/>
          <w:color w:val="auto"/>
          <w:spacing w:val="0"/>
          <w:sz w:val="24"/>
        </w:rPr>
        <w:t>Anónimo</w:t>
      </w:r>
      <w:r w:rsidR="00896C1A" w:rsidRPr="008F17A2">
        <w:rPr>
          <w:rFonts w:eastAsia="Calibri"/>
          <w:color w:val="auto"/>
          <w:spacing w:val="0"/>
          <w:sz w:val="24"/>
        </w:rPr>
        <w:t xml:space="preserve"> </w:t>
      </w:r>
      <w:r w:rsidR="00051902" w:rsidRPr="008F17A2">
        <w:rPr>
          <w:rFonts w:eastAsia="Calibri"/>
          <w:color w:val="auto"/>
          <w:spacing w:val="0"/>
          <w:sz w:val="24"/>
        </w:rPr>
        <w:t>(</w:t>
      </w:r>
      <w:r w:rsidR="00896C1A" w:rsidRPr="008F17A2">
        <w:rPr>
          <w:rFonts w:eastAsia="Calibri"/>
          <w:color w:val="auto"/>
          <w:spacing w:val="0"/>
          <w:sz w:val="24"/>
        </w:rPr>
        <w:t>2009</w:t>
      </w:r>
      <w:r w:rsidR="00051902" w:rsidRPr="008F17A2">
        <w:rPr>
          <w:rFonts w:eastAsia="Calibri"/>
          <w:color w:val="auto"/>
          <w:spacing w:val="0"/>
          <w:sz w:val="24"/>
        </w:rPr>
        <w:t>)</w:t>
      </w:r>
      <w:r w:rsidR="00896C1A" w:rsidRPr="008F17A2">
        <w:rPr>
          <w:rFonts w:eastAsia="Calibri"/>
          <w:color w:val="auto"/>
          <w:spacing w:val="0"/>
          <w:sz w:val="24"/>
        </w:rPr>
        <w:t xml:space="preserve">. </w:t>
      </w:r>
      <w:r w:rsidR="005C7608" w:rsidRPr="008F17A2">
        <w:rPr>
          <w:rFonts w:eastAsia="Calibri"/>
          <w:color w:val="auto"/>
          <w:spacing w:val="0"/>
          <w:sz w:val="24"/>
        </w:rPr>
        <w:t>“</w:t>
      </w:r>
      <w:r w:rsidR="00896C1A" w:rsidRPr="008F17A2">
        <w:rPr>
          <w:rFonts w:eastAsia="Calibri"/>
          <w:color w:val="auto"/>
          <w:spacing w:val="0"/>
          <w:sz w:val="24"/>
        </w:rPr>
        <w:t>Do not Expect Apples from a Pear Tree: Foreign Direct Investment and Innovation in Mexico</w:t>
      </w:r>
      <w:r w:rsidR="005C7608" w:rsidRPr="008F17A2">
        <w:rPr>
          <w:rFonts w:eastAsia="Calibri"/>
          <w:color w:val="auto"/>
          <w:spacing w:val="0"/>
          <w:sz w:val="24"/>
        </w:rPr>
        <w:t>”</w:t>
      </w:r>
      <w:r w:rsidR="00896C1A" w:rsidRPr="008F17A2">
        <w:rPr>
          <w:rFonts w:eastAsia="Calibri"/>
          <w:color w:val="auto"/>
          <w:spacing w:val="0"/>
          <w:sz w:val="24"/>
        </w:rPr>
        <w:t xml:space="preserve">. Working Group on Development and Environment in the Americas. </w:t>
      </w:r>
      <w:r w:rsidR="005C7608" w:rsidRPr="008F17A2">
        <w:rPr>
          <w:rFonts w:eastAsia="Calibri"/>
          <w:color w:val="auto"/>
          <w:spacing w:val="0"/>
          <w:sz w:val="24"/>
        </w:rPr>
        <w:t>Discussion Paper</w:t>
      </w:r>
      <w:r w:rsidR="00051902" w:rsidRPr="008F17A2">
        <w:rPr>
          <w:rFonts w:eastAsia="Calibri"/>
          <w:color w:val="auto"/>
          <w:spacing w:val="0"/>
          <w:sz w:val="24"/>
        </w:rPr>
        <w:t>,</w:t>
      </w:r>
      <w:r w:rsidR="005C7608" w:rsidRPr="008F17A2">
        <w:rPr>
          <w:rFonts w:eastAsia="Calibri"/>
          <w:color w:val="auto"/>
          <w:spacing w:val="0"/>
          <w:sz w:val="24"/>
        </w:rPr>
        <w:t xml:space="preserve"> </w:t>
      </w:r>
      <w:r w:rsidR="00051902" w:rsidRPr="008F17A2">
        <w:rPr>
          <w:rFonts w:eastAsia="Calibri"/>
          <w:color w:val="auto"/>
          <w:spacing w:val="0"/>
          <w:sz w:val="24"/>
        </w:rPr>
        <w:t>n</w:t>
      </w:r>
      <w:r w:rsidR="005C7608" w:rsidRPr="008F17A2">
        <w:rPr>
          <w:rFonts w:eastAsia="Calibri"/>
          <w:color w:val="auto"/>
          <w:spacing w:val="0"/>
          <w:sz w:val="24"/>
        </w:rPr>
        <w:t xml:space="preserve">umber 28.  </w:t>
      </w:r>
    </w:p>
    <w:p w:rsidR="00506A05" w:rsidRPr="008F17A2" w:rsidRDefault="00F3144A" w:rsidP="008F17A2">
      <w:pPr>
        <w:spacing w:line="360" w:lineRule="auto"/>
        <w:ind w:left="993" w:hanging="993"/>
        <w:jc w:val="both"/>
        <w:rPr>
          <w:rFonts w:eastAsia="Calibri"/>
          <w:color w:val="auto"/>
          <w:spacing w:val="0"/>
          <w:sz w:val="24"/>
        </w:rPr>
      </w:pPr>
      <w:r w:rsidRPr="008F17A2">
        <w:rPr>
          <w:rFonts w:eastAsia="Calibri"/>
          <w:color w:val="auto"/>
          <w:spacing w:val="0"/>
          <w:sz w:val="24"/>
        </w:rPr>
        <w:t>D</w:t>
      </w:r>
      <w:r w:rsidR="00506A05" w:rsidRPr="008F17A2">
        <w:rPr>
          <w:rFonts w:eastAsia="Calibri"/>
          <w:color w:val="auto"/>
          <w:spacing w:val="0"/>
          <w:sz w:val="24"/>
        </w:rPr>
        <w:t>urán</w:t>
      </w:r>
      <w:r w:rsidRPr="008F17A2">
        <w:rPr>
          <w:rFonts w:eastAsia="Calibri"/>
          <w:color w:val="auto"/>
          <w:spacing w:val="0"/>
          <w:sz w:val="24"/>
        </w:rPr>
        <w:t>, J. J. (2005</w:t>
      </w:r>
      <w:r w:rsidR="000C7D71" w:rsidRPr="008F17A2">
        <w:rPr>
          <w:rFonts w:eastAsia="Calibri"/>
          <w:color w:val="auto"/>
          <w:spacing w:val="0"/>
          <w:sz w:val="24"/>
        </w:rPr>
        <w:t xml:space="preserve">). </w:t>
      </w:r>
      <w:r w:rsidRPr="008F17A2">
        <w:rPr>
          <w:rFonts w:eastAsia="Calibri"/>
          <w:color w:val="auto"/>
          <w:spacing w:val="0"/>
          <w:sz w:val="24"/>
        </w:rPr>
        <w:t xml:space="preserve">La inversión directa española en el exterior y la multinacionalización  de la empresa española, 1960 – 2004. Capítulo del libro: </w:t>
      </w:r>
      <w:r w:rsidR="005555D4" w:rsidRPr="008F17A2">
        <w:rPr>
          <w:rFonts w:eastAsia="Calibri"/>
          <w:color w:val="auto"/>
          <w:spacing w:val="0"/>
          <w:sz w:val="24"/>
        </w:rPr>
        <w:t xml:space="preserve">La </w:t>
      </w:r>
      <w:r w:rsidR="00051902" w:rsidRPr="008F17A2">
        <w:rPr>
          <w:rFonts w:eastAsia="Calibri"/>
          <w:color w:val="auto"/>
          <w:spacing w:val="0"/>
          <w:sz w:val="24"/>
        </w:rPr>
        <w:t>e</w:t>
      </w:r>
      <w:r w:rsidR="005555D4" w:rsidRPr="008F17A2">
        <w:rPr>
          <w:rFonts w:eastAsia="Calibri"/>
          <w:color w:val="auto"/>
          <w:spacing w:val="0"/>
          <w:sz w:val="24"/>
        </w:rPr>
        <w:t xml:space="preserve">mpresa </w:t>
      </w:r>
      <w:r w:rsidR="00051902" w:rsidRPr="008F17A2">
        <w:rPr>
          <w:rFonts w:eastAsia="Calibri"/>
          <w:color w:val="auto"/>
          <w:spacing w:val="0"/>
          <w:sz w:val="24"/>
        </w:rPr>
        <w:t>m</w:t>
      </w:r>
      <w:r w:rsidR="005555D4" w:rsidRPr="008F17A2">
        <w:rPr>
          <w:rFonts w:eastAsia="Calibri"/>
          <w:color w:val="auto"/>
          <w:spacing w:val="0"/>
          <w:sz w:val="24"/>
        </w:rPr>
        <w:t xml:space="preserve">ultinacional </w:t>
      </w:r>
      <w:r w:rsidR="00051902" w:rsidRPr="008F17A2">
        <w:rPr>
          <w:rFonts w:eastAsia="Calibri"/>
          <w:color w:val="auto"/>
          <w:spacing w:val="0"/>
          <w:sz w:val="24"/>
        </w:rPr>
        <w:t>e</w:t>
      </w:r>
      <w:r w:rsidR="005555D4" w:rsidRPr="008F17A2">
        <w:rPr>
          <w:rFonts w:eastAsia="Calibri"/>
          <w:color w:val="auto"/>
          <w:spacing w:val="0"/>
          <w:sz w:val="24"/>
        </w:rPr>
        <w:t>spañola</w:t>
      </w:r>
      <w:r w:rsidR="00051902" w:rsidRPr="008F17A2">
        <w:rPr>
          <w:rFonts w:eastAsia="Calibri"/>
          <w:color w:val="auto"/>
          <w:spacing w:val="0"/>
          <w:sz w:val="24"/>
        </w:rPr>
        <w:t xml:space="preserve">, </w:t>
      </w:r>
      <w:r w:rsidR="005555D4" w:rsidRPr="008F17A2">
        <w:rPr>
          <w:rFonts w:eastAsia="Calibri"/>
          <w:color w:val="auto"/>
          <w:spacing w:val="0"/>
          <w:sz w:val="24"/>
        </w:rPr>
        <w:t>estrategias y ventajas competitivas.</w:t>
      </w:r>
      <w:r w:rsidR="000C7D71" w:rsidRPr="008F17A2">
        <w:rPr>
          <w:rFonts w:eastAsia="Calibri"/>
          <w:color w:val="auto"/>
          <w:spacing w:val="0"/>
          <w:sz w:val="24"/>
        </w:rPr>
        <w:t xml:space="preserve"> </w:t>
      </w:r>
      <w:r w:rsidRPr="008F17A2">
        <w:rPr>
          <w:rFonts w:eastAsia="Calibri"/>
          <w:color w:val="auto"/>
          <w:spacing w:val="0"/>
          <w:sz w:val="24"/>
        </w:rPr>
        <w:t xml:space="preserve">Minerva </w:t>
      </w:r>
      <w:r w:rsidR="00051902" w:rsidRPr="008F17A2">
        <w:rPr>
          <w:rFonts w:eastAsia="Calibri"/>
          <w:color w:val="auto"/>
          <w:spacing w:val="0"/>
          <w:sz w:val="24"/>
        </w:rPr>
        <w:t>e</w:t>
      </w:r>
      <w:r w:rsidRPr="008F17A2">
        <w:rPr>
          <w:rFonts w:eastAsia="Calibri"/>
          <w:color w:val="auto"/>
          <w:spacing w:val="0"/>
          <w:sz w:val="24"/>
        </w:rPr>
        <w:t>diciones</w:t>
      </w:r>
      <w:r w:rsidR="00051902" w:rsidRPr="008F17A2">
        <w:rPr>
          <w:rFonts w:eastAsia="Calibri"/>
          <w:color w:val="auto"/>
          <w:spacing w:val="0"/>
          <w:sz w:val="24"/>
        </w:rPr>
        <w:t>;</w:t>
      </w:r>
      <w:r w:rsidRPr="008F17A2">
        <w:rPr>
          <w:rFonts w:eastAsia="Calibri"/>
          <w:color w:val="auto"/>
          <w:spacing w:val="0"/>
          <w:sz w:val="24"/>
        </w:rPr>
        <w:t xml:space="preserve"> </w:t>
      </w:r>
      <w:r w:rsidR="000C7D71" w:rsidRPr="008F17A2">
        <w:rPr>
          <w:rFonts w:eastAsia="Calibri"/>
          <w:color w:val="auto"/>
          <w:spacing w:val="0"/>
          <w:sz w:val="24"/>
        </w:rPr>
        <w:t xml:space="preserve">Madrid, España. </w:t>
      </w:r>
    </w:p>
    <w:p w:rsidR="00506A05" w:rsidRPr="008F17A2" w:rsidRDefault="00506A05" w:rsidP="008F17A2">
      <w:pPr>
        <w:spacing w:line="360" w:lineRule="auto"/>
        <w:ind w:left="993" w:hanging="993"/>
        <w:jc w:val="both"/>
        <w:rPr>
          <w:rFonts w:eastAsia="Calibri"/>
          <w:color w:val="auto"/>
          <w:spacing w:val="0"/>
          <w:sz w:val="24"/>
        </w:rPr>
      </w:pPr>
      <w:r w:rsidRPr="008F17A2">
        <w:rPr>
          <w:rFonts w:eastAsia="Calibri"/>
          <w:color w:val="auto"/>
          <w:spacing w:val="0"/>
          <w:sz w:val="24"/>
        </w:rPr>
        <w:t>Durán, R. R., &amp; Ochoa, E. S. (2006). “Infrastructure and FDI Inflows into Mexico: A Panel Data Approach”. Global Economy Journal</w:t>
      </w:r>
      <w:r w:rsidR="00051902" w:rsidRPr="008F17A2">
        <w:rPr>
          <w:rFonts w:eastAsia="Calibri"/>
          <w:color w:val="auto"/>
          <w:spacing w:val="0"/>
          <w:sz w:val="24"/>
        </w:rPr>
        <w:t>, v</w:t>
      </w:r>
      <w:r w:rsidRPr="008F17A2">
        <w:rPr>
          <w:rFonts w:eastAsia="Calibri"/>
          <w:color w:val="auto"/>
          <w:spacing w:val="0"/>
          <w:sz w:val="24"/>
        </w:rPr>
        <w:t xml:space="preserve">olume 6, </w:t>
      </w:r>
      <w:r w:rsidR="00051902" w:rsidRPr="008F17A2">
        <w:rPr>
          <w:rFonts w:eastAsia="Calibri"/>
          <w:color w:val="auto"/>
          <w:spacing w:val="0"/>
          <w:sz w:val="24"/>
        </w:rPr>
        <w:t>i</w:t>
      </w:r>
      <w:r w:rsidRPr="008F17A2">
        <w:rPr>
          <w:rFonts w:eastAsia="Calibri"/>
          <w:color w:val="auto"/>
          <w:spacing w:val="0"/>
          <w:sz w:val="24"/>
        </w:rPr>
        <w:t>ssue 1.</w:t>
      </w:r>
    </w:p>
    <w:p w:rsidR="00896C1A" w:rsidRPr="008F17A2" w:rsidRDefault="00506A05" w:rsidP="008F17A2">
      <w:pPr>
        <w:spacing w:line="360" w:lineRule="auto"/>
        <w:ind w:left="993" w:hanging="993"/>
        <w:jc w:val="both"/>
        <w:rPr>
          <w:rFonts w:eastAsia="Calibri"/>
          <w:color w:val="auto"/>
          <w:spacing w:val="0"/>
          <w:sz w:val="24"/>
        </w:rPr>
      </w:pPr>
      <w:r w:rsidRPr="008F17A2">
        <w:rPr>
          <w:rFonts w:eastAsia="Calibri"/>
          <w:color w:val="auto"/>
          <w:spacing w:val="0"/>
          <w:sz w:val="24"/>
        </w:rPr>
        <w:t>Egger, P. y</w:t>
      </w:r>
      <w:r w:rsidR="00896C1A" w:rsidRPr="008F17A2">
        <w:rPr>
          <w:rFonts w:eastAsia="Calibri"/>
          <w:color w:val="auto"/>
          <w:spacing w:val="0"/>
          <w:sz w:val="24"/>
        </w:rPr>
        <w:t xml:space="preserve"> H. Winner. (2005). “Evidence on Corruption as Incentive for Foreign Direct Investment. European Journal of Political Economy 21</w:t>
      </w:r>
      <w:r w:rsidR="00051902" w:rsidRPr="008F17A2">
        <w:rPr>
          <w:rFonts w:eastAsia="Calibri"/>
          <w:color w:val="auto"/>
          <w:spacing w:val="0"/>
          <w:sz w:val="24"/>
        </w:rPr>
        <w:t>, pp.</w:t>
      </w:r>
      <w:r w:rsidR="00896C1A" w:rsidRPr="008F17A2">
        <w:rPr>
          <w:rFonts w:eastAsia="Calibri"/>
          <w:color w:val="auto"/>
          <w:spacing w:val="0"/>
          <w:sz w:val="24"/>
        </w:rPr>
        <w:t xml:space="preserve"> 932-952</w:t>
      </w:r>
      <w:r w:rsidR="005C7608" w:rsidRPr="008F17A2">
        <w:rPr>
          <w:rFonts w:eastAsia="Calibri"/>
          <w:color w:val="auto"/>
          <w:spacing w:val="0"/>
          <w:sz w:val="24"/>
        </w:rPr>
        <w:t>.</w:t>
      </w:r>
    </w:p>
    <w:p w:rsidR="00506A05"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Galindo, M. (2008). La crisis económica estadounidense. Boletín eco</w:t>
      </w:r>
      <w:r w:rsidR="005C7608" w:rsidRPr="008F17A2">
        <w:rPr>
          <w:rFonts w:eastAsia="Calibri"/>
          <w:color w:val="auto"/>
          <w:spacing w:val="0"/>
          <w:sz w:val="24"/>
        </w:rPr>
        <w:t>nómico de ICE. 2946. pp. 13-22.</w:t>
      </w:r>
    </w:p>
    <w:p w:rsidR="00506A05"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G</w:t>
      </w:r>
      <w:r w:rsidR="005C7608" w:rsidRPr="008F17A2">
        <w:rPr>
          <w:rFonts w:eastAsia="Calibri"/>
          <w:color w:val="auto"/>
          <w:spacing w:val="0"/>
          <w:sz w:val="24"/>
        </w:rPr>
        <w:t>rossman</w:t>
      </w:r>
      <w:r w:rsidRPr="008F17A2">
        <w:rPr>
          <w:rFonts w:eastAsia="Calibri"/>
          <w:color w:val="auto"/>
          <w:spacing w:val="0"/>
          <w:sz w:val="24"/>
        </w:rPr>
        <w:t xml:space="preserve">, Gene M.; Helpman, Elhanan (May, 1990). </w:t>
      </w:r>
      <w:r w:rsidR="005C7608" w:rsidRPr="008F17A2">
        <w:rPr>
          <w:rFonts w:eastAsia="Calibri"/>
          <w:color w:val="auto"/>
          <w:spacing w:val="0"/>
          <w:sz w:val="24"/>
        </w:rPr>
        <w:t>“</w:t>
      </w:r>
      <w:r w:rsidRPr="008F17A2">
        <w:rPr>
          <w:rFonts w:eastAsia="Calibri"/>
          <w:color w:val="auto"/>
          <w:spacing w:val="0"/>
          <w:sz w:val="24"/>
        </w:rPr>
        <w:t>Trade, Innovation, and Growth</w:t>
      </w:r>
      <w:r w:rsidR="005C7608" w:rsidRPr="008F17A2">
        <w:rPr>
          <w:rFonts w:eastAsia="Calibri"/>
          <w:color w:val="auto"/>
          <w:spacing w:val="0"/>
          <w:sz w:val="24"/>
        </w:rPr>
        <w:t>”</w:t>
      </w:r>
      <w:r w:rsidRPr="008F17A2">
        <w:rPr>
          <w:rFonts w:eastAsia="Calibri"/>
          <w:color w:val="auto"/>
          <w:spacing w:val="0"/>
          <w:sz w:val="24"/>
        </w:rPr>
        <w:t xml:space="preserve">. The American Economic Review, </w:t>
      </w:r>
      <w:r w:rsidR="007A2A13" w:rsidRPr="008F17A2">
        <w:rPr>
          <w:rFonts w:eastAsia="Calibri"/>
          <w:color w:val="auto"/>
          <w:spacing w:val="0"/>
          <w:sz w:val="24"/>
        </w:rPr>
        <w:t>v</w:t>
      </w:r>
      <w:r w:rsidRPr="008F17A2">
        <w:rPr>
          <w:rFonts w:eastAsia="Calibri"/>
          <w:color w:val="auto"/>
          <w:spacing w:val="0"/>
          <w:sz w:val="24"/>
        </w:rPr>
        <w:t xml:space="preserve">ol. 80, </w:t>
      </w:r>
      <w:r w:rsidR="007A2A13" w:rsidRPr="008F17A2">
        <w:rPr>
          <w:rFonts w:eastAsia="Calibri"/>
          <w:color w:val="auto"/>
          <w:spacing w:val="0"/>
          <w:sz w:val="24"/>
        </w:rPr>
        <w:t>n</w:t>
      </w:r>
      <w:r w:rsidRPr="008F17A2">
        <w:rPr>
          <w:rFonts w:eastAsia="Calibri"/>
          <w:color w:val="auto"/>
          <w:spacing w:val="0"/>
          <w:sz w:val="24"/>
        </w:rPr>
        <w:t xml:space="preserve">o. 2, Papers and Proceedings of the Hundred and Second Annual Meeting of the American Economic Association, pp. 86-91. </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Helpman, E.</w:t>
      </w:r>
      <w:r w:rsidR="007A2A13" w:rsidRPr="008F17A2">
        <w:rPr>
          <w:rFonts w:eastAsia="Calibri"/>
          <w:color w:val="auto"/>
          <w:spacing w:val="0"/>
          <w:sz w:val="24"/>
        </w:rPr>
        <w:t>;</w:t>
      </w:r>
      <w:r w:rsidRPr="008F17A2">
        <w:rPr>
          <w:rFonts w:eastAsia="Calibri"/>
          <w:color w:val="auto"/>
          <w:spacing w:val="0"/>
          <w:sz w:val="24"/>
        </w:rPr>
        <w:t xml:space="preserve"> Melitz, M.</w:t>
      </w:r>
      <w:r w:rsidR="007A2A13" w:rsidRPr="008F17A2">
        <w:rPr>
          <w:rFonts w:eastAsia="Calibri"/>
          <w:color w:val="auto"/>
          <w:spacing w:val="0"/>
          <w:sz w:val="24"/>
        </w:rPr>
        <w:t>;</w:t>
      </w:r>
      <w:r w:rsidRPr="008F17A2">
        <w:rPr>
          <w:rFonts w:eastAsia="Calibri"/>
          <w:color w:val="auto"/>
          <w:spacing w:val="0"/>
          <w:sz w:val="24"/>
        </w:rPr>
        <w:t xml:space="preserve"> Yeaple, S.R. (2004). </w:t>
      </w:r>
      <w:r w:rsidR="005C7608" w:rsidRPr="008F17A2">
        <w:rPr>
          <w:rFonts w:eastAsia="Calibri"/>
          <w:color w:val="auto"/>
          <w:spacing w:val="0"/>
          <w:sz w:val="24"/>
        </w:rPr>
        <w:t>“</w:t>
      </w:r>
      <w:r w:rsidRPr="008F17A2">
        <w:rPr>
          <w:rFonts w:eastAsia="Calibri"/>
          <w:color w:val="auto"/>
          <w:spacing w:val="0"/>
          <w:sz w:val="24"/>
        </w:rPr>
        <w:t>Export versus FDI with heterogeneous firms</w:t>
      </w:r>
      <w:r w:rsidR="005C7608" w:rsidRPr="008F17A2">
        <w:rPr>
          <w:rFonts w:eastAsia="Calibri"/>
          <w:color w:val="auto"/>
          <w:spacing w:val="0"/>
          <w:sz w:val="24"/>
        </w:rPr>
        <w:t>”.</w:t>
      </w:r>
      <w:r w:rsidRPr="008F17A2">
        <w:rPr>
          <w:rFonts w:eastAsia="Calibri"/>
          <w:color w:val="auto"/>
          <w:spacing w:val="0"/>
          <w:sz w:val="24"/>
        </w:rPr>
        <w:t xml:space="preserve"> Americ</w:t>
      </w:r>
      <w:r w:rsidR="005C7608" w:rsidRPr="008F17A2">
        <w:rPr>
          <w:rFonts w:eastAsia="Calibri"/>
          <w:color w:val="auto"/>
          <w:spacing w:val="0"/>
          <w:sz w:val="24"/>
        </w:rPr>
        <w:t xml:space="preserve">an Economic Review 94, </w:t>
      </w:r>
      <w:r w:rsidR="007A2A13" w:rsidRPr="008F17A2">
        <w:rPr>
          <w:rFonts w:eastAsia="Calibri"/>
          <w:color w:val="auto"/>
          <w:spacing w:val="0"/>
          <w:sz w:val="24"/>
        </w:rPr>
        <w:t xml:space="preserve">pp. </w:t>
      </w:r>
      <w:r w:rsidR="005C7608" w:rsidRPr="008F17A2">
        <w:rPr>
          <w:rFonts w:eastAsia="Calibri"/>
          <w:color w:val="auto"/>
          <w:spacing w:val="0"/>
          <w:sz w:val="24"/>
        </w:rPr>
        <w:t>300-316.</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Jensen, Nathan M. </w:t>
      </w:r>
      <w:r w:rsidR="007A2A13" w:rsidRPr="008F17A2">
        <w:rPr>
          <w:rFonts w:eastAsia="Calibri"/>
          <w:color w:val="auto"/>
          <w:spacing w:val="0"/>
          <w:sz w:val="24"/>
        </w:rPr>
        <w:t>&amp;</w:t>
      </w:r>
      <w:r w:rsidRPr="008F17A2">
        <w:rPr>
          <w:rFonts w:eastAsia="Calibri"/>
          <w:color w:val="auto"/>
          <w:spacing w:val="0"/>
          <w:sz w:val="24"/>
        </w:rPr>
        <w:t xml:space="preserve"> Guillermo Rosas (2007). Foreign Direct Investment and Income Inequality in Mexico, 1990 – 2000. International Organization 61</w:t>
      </w:r>
      <w:r w:rsidR="007A2A13" w:rsidRPr="008F17A2">
        <w:rPr>
          <w:rFonts w:eastAsia="Calibri"/>
          <w:color w:val="auto"/>
          <w:spacing w:val="0"/>
          <w:sz w:val="24"/>
        </w:rPr>
        <w:t>, pp.</w:t>
      </w:r>
      <w:r w:rsidRPr="008F17A2">
        <w:rPr>
          <w:rFonts w:eastAsia="Calibri"/>
          <w:color w:val="auto"/>
          <w:spacing w:val="0"/>
          <w:sz w:val="24"/>
        </w:rPr>
        <w:t xml:space="preserve"> 467–87.</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Jensen, Nathan M. (2003). “Democratic Governance and Multinational Corporations: Political Regimes and Inflows of Foreign Direct Investment”</w:t>
      </w:r>
      <w:r w:rsidR="007A2A13" w:rsidRPr="008F17A2">
        <w:rPr>
          <w:rFonts w:eastAsia="Calibri"/>
          <w:color w:val="auto"/>
          <w:spacing w:val="0"/>
          <w:sz w:val="24"/>
        </w:rPr>
        <w:t>.</w:t>
      </w:r>
      <w:r w:rsidRPr="008F17A2">
        <w:rPr>
          <w:rFonts w:eastAsia="Calibri"/>
          <w:color w:val="auto"/>
          <w:spacing w:val="0"/>
          <w:sz w:val="24"/>
        </w:rPr>
        <w:t xml:space="preserve"> International Organization 57(3)</w:t>
      </w:r>
      <w:r w:rsidR="007A2A13" w:rsidRPr="008F17A2">
        <w:rPr>
          <w:rFonts w:eastAsia="Calibri"/>
          <w:color w:val="auto"/>
          <w:spacing w:val="0"/>
          <w:sz w:val="24"/>
        </w:rPr>
        <w:t>, pp.</w:t>
      </w:r>
      <w:r w:rsidRPr="008F17A2">
        <w:rPr>
          <w:rFonts w:eastAsia="Calibri"/>
          <w:color w:val="auto"/>
          <w:spacing w:val="0"/>
          <w:sz w:val="24"/>
        </w:rPr>
        <w:t xml:space="preserve"> 587-616.</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lastRenderedPageBreak/>
        <w:t>Jones, Geoffrey (1988). “Foreign multinationals and British industry before 1945”. Economic History Review, 2nd ser., XLI, 3, pp. 429</w:t>
      </w:r>
      <w:r w:rsidR="007A2A13" w:rsidRPr="008F17A2">
        <w:rPr>
          <w:rFonts w:eastAsia="Calibri"/>
          <w:color w:val="auto"/>
          <w:spacing w:val="0"/>
          <w:sz w:val="24"/>
        </w:rPr>
        <w:t>-</w:t>
      </w:r>
      <w:r w:rsidRPr="008F17A2">
        <w:rPr>
          <w:rFonts w:eastAsia="Calibri"/>
          <w:color w:val="auto"/>
          <w:spacing w:val="0"/>
          <w:sz w:val="24"/>
        </w:rPr>
        <w:t xml:space="preserve">453. </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Jordaan, J. (2008). </w:t>
      </w:r>
      <w:r w:rsidR="005C7608" w:rsidRPr="008F17A2">
        <w:rPr>
          <w:rFonts w:eastAsia="Calibri"/>
          <w:color w:val="auto"/>
          <w:spacing w:val="0"/>
          <w:sz w:val="24"/>
        </w:rPr>
        <w:t>“</w:t>
      </w:r>
      <w:r w:rsidRPr="008F17A2">
        <w:rPr>
          <w:rFonts w:eastAsia="Calibri"/>
          <w:color w:val="auto"/>
          <w:spacing w:val="0"/>
          <w:sz w:val="24"/>
        </w:rPr>
        <w:t>State Characteristics and the Locational Choice of Foreign Direct Investment: Evidence from Regional FDI in Mexico 1989–2006</w:t>
      </w:r>
      <w:r w:rsidR="005C7608" w:rsidRPr="008F17A2">
        <w:rPr>
          <w:rFonts w:eastAsia="Calibri"/>
          <w:color w:val="auto"/>
          <w:spacing w:val="0"/>
          <w:sz w:val="24"/>
        </w:rPr>
        <w:t>”</w:t>
      </w:r>
      <w:r w:rsidRPr="008F17A2">
        <w:rPr>
          <w:rFonts w:eastAsia="Calibri"/>
          <w:color w:val="auto"/>
          <w:spacing w:val="0"/>
          <w:sz w:val="24"/>
        </w:rPr>
        <w:t xml:space="preserve">.  Growth and Change, </w:t>
      </w:r>
      <w:r w:rsidR="007A2A13" w:rsidRPr="008F17A2">
        <w:rPr>
          <w:rFonts w:eastAsia="Calibri"/>
          <w:color w:val="auto"/>
          <w:spacing w:val="0"/>
          <w:sz w:val="24"/>
        </w:rPr>
        <w:t>v</w:t>
      </w:r>
      <w:r w:rsidRPr="008F17A2">
        <w:rPr>
          <w:rFonts w:eastAsia="Calibri"/>
          <w:color w:val="auto"/>
          <w:spacing w:val="0"/>
          <w:sz w:val="24"/>
        </w:rPr>
        <w:t>ol. 39</w:t>
      </w:r>
      <w:r w:rsidR="007A2A13" w:rsidRPr="008F17A2">
        <w:rPr>
          <w:rFonts w:eastAsia="Calibri"/>
          <w:color w:val="auto"/>
          <w:spacing w:val="0"/>
          <w:sz w:val="24"/>
        </w:rPr>
        <w:t>,</w:t>
      </w:r>
      <w:r w:rsidRPr="008F17A2">
        <w:rPr>
          <w:rFonts w:eastAsia="Calibri"/>
          <w:color w:val="auto"/>
          <w:spacing w:val="0"/>
          <w:sz w:val="24"/>
        </w:rPr>
        <w:t xml:space="preserve"> </w:t>
      </w:r>
      <w:r w:rsidR="007A2A13" w:rsidRPr="008F17A2">
        <w:rPr>
          <w:rFonts w:eastAsia="Calibri"/>
          <w:color w:val="auto"/>
          <w:spacing w:val="0"/>
          <w:sz w:val="24"/>
        </w:rPr>
        <w:t>n</w:t>
      </w:r>
      <w:r w:rsidRPr="008F17A2">
        <w:rPr>
          <w:rFonts w:eastAsia="Calibri"/>
          <w:color w:val="auto"/>
          <w:spacing w:val="0"/>
          <w:sz w:val="24"/>
        </w:rPr>
        <w:t xml:space="preserve">o. 3 , </w:t>
      </w:r>
      <w:r w:rsidR="007A2A13" w:rsidRPr="008F17A2">
        <w:rPr>
          <w:rFonts w:eastAsia="Calibri"/>
          <w:color w:val="auto"/>
          <w:spacing w:val="0"/>
          <w:sz w:val="24"/>
        </w:rPr>
        <w:t xml:space="preserve">pp. </w:t>
      </w:r>
      <w:r w:rsidRPr="008F17A2">
        <w:rPr>
          <w:rFonts w:eastAsia="Calibri"/>
          <w:color w:val="auto"/>
          <w:spacing w:val="0"/>
          <w:sz w:val="24"/>
        </w:rPr>
        <w:t>389-413.</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Harms, P. and H. Ursprung (2002). “Do Civil and Political Repression Really Boost Foreign Direct Investment?</w:t>
      </w:r>
      <w:r w:rsidR="005C7608" w:rsidRPr="008F17A2">
        <w:rPr>
          <w:rFonts w:eastAsia="Calibri"/>
          <w:color w:val="auto"/>
          <w:spacing w:val="0"/>
          <w:sz w:val="24"/>
        </w:rPr>
        <w:t>”</w:t>
      </w:r>
      <w:r w:rsidRPr="008F17A2">
        <w:rPr>
          <w:rFonts w:eastAsia="Calibri"/>
          <w:color w:val="auto"/>
          <w:spacing w:val="0"/>
          <w:sz w:val="24"/>
        </w:rPr>
        <w:t xml:space="preserve"> Economic Inquiry 40</w:t>
      </w:r>
      <w:r w:rsidR="007A2A13" w:rsidRPr="008F17A2">
        <w:rPr>
          <w:rFonts w:eastAsia="Calibri"/>
          <w:color w:val="auto"/>
          <w:spacing w:val="0"/>
          <w:sz w:val="24"/>
        </w:rPr>
        <w:t>, pp.</w:t>
      </w:r>
      <w:r w:rsidRPr="008F17A2">
        <w:rPr>
          <w:rFonts w:eastAsia="Calibri"/>
          <w:color w:val="auto"/>
          <w:spacing w:val="0"/>
          <w:sz w:val="24"/>
        </w:rPr>
        <w:t xml:space="preserve"> 651-663.</w:t>
      </w:r>
    </w:p>
    <w:p w:rsidR="00506A05"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López, A. (1997). El impacto del tratado de libre comercio de América del Norte en los sistemas jurídicos del continente americano. Capítulo de libro: El futuro del libre comercio en el continente americano. En Revista Análisi</w:t>
      </w:r>
      <w:r w:rsidR="00A34C42" w:rsidRPr="008F17A2">
        <w:rPr>
          <w:rFonts w:eastAsia="Calibri"/>
          <w:color w:val="auto"/>
          <w:spacing w:val="0"/>
          <w:sz w:val="24"/>
        </w:rPr>
        <w:t>s y perspectivas</w:t>
      </w:r>
      <w:r w:rsidR="007A2A13" w:rsidRPr="008F17A2">
        <w:rPr>
          <w:rFonts w:eastAsia="Calibri"/>
          <w:color w:val="auto"/>
          <w:spacing w:val="0"/>
          <w:sz w:val="24"/>
        </w:rPr>
        <w:t>,</w:t>
      </w:r>
      <w:r w:rsidR="00A34C42" w:rsidRPr="008F17A2">
        <w:rPr>
          <w:rFonts w:eastAsia="Calibri"/>
          <w:color w:val="auto"/>
          <w:spacing w:val="0"/>
          <w:sz w:val="24"/>
        </w:rPr>
        <w:t xml:space="preserve"> </w:t>
      </w:r>
      <w:r w:rsidR="007A2A13" w:rsidRPr="008F17A2">
        <w:rPr>
          <w:rFonts w:eastAsia="Calibri"/>
          <w:color w:val="auto"/>
          <w:spacing w:val="0"/>
          <w:sz w:val="24"/>
        </w:rPr>
        <w:t>p</w:t>
      </w:r>
      <w:r w:rsidR="00A34C42" w:rsidRPr="008F17A2">
        <w:rPr>
          <w:rFonts w:eastAsia="Calibri"/>
          <w:color w:val="auto"/>
          <w:spacing w:val="0"/>
          <w:sz w:val="24"/>
        </w:rPr>
        <w:t xml:space="preserve">p. 211-232. </w:t>
      </w:r>
    </w:p>
    <w:p w:rsidR="00506A05" w:rsidRPr="008F17A2" w:rsidRDefault="00B13B43" w:rsidP="008F17A2">
      <w:pPr>
        <w:spacing w:line="360" w:lineRule="auto"/>
        <w:ind w:left="993" w:hanging="993"/>
        <w:jc w:val="both"/>
        <w:rPr>
          <w:rFonts w:eastAsia="Calibri"/>
          <w:color w:val="auto"/>
          <w:spacing w:val="0"/>
          <w:sz w:val="24"/>
        </w:rPr>
      </w:pPr>
      <w:r w:rsidRPr="008F17A2">
        <w:rPr>
          <w:rFonts w:eastAsia="Calibri"/>
          <w:color w:val="auto"/>
          <w:spacing w:val="0"/>
          <w:sz w:val="24"/>
        </w:rPr>
        <w:t>Krugman, P. R. (1991).</w:t>
      </w:r>
      <w:r w:rsidRPr="008F17A2">
        <w:rPr>
          <w:rFonts w:eastAsia="Calibri"/>
          <w:color w:val="auto"/>
          <w:spacing w:val="0"/>
        </w:rPr>
        <w:t> </w:t>
      </w:r>
      <w:r w:rsidRPr="008F17A2">
        <w:rPr>
          <w:rFonts w:eastAsia="Calibri"/>
          <w:color w:val="auto"/>
          <w:spacing w:val="0"/>
          <w:sz w:val="24"/>
        </w:rPr>
        <w:t xml:space="preserve">Geography and trade. MIT </w:t>
      </w:r>
      <w:r w:rsidR="007A2A13" w:rsidRPr="008F17A2">
        <w:rPr>
          <w:rFonts w:eastAsia="Calibri"/>
          <w:color w:val="auto"/>
          <w:spacing w:val="0"/>
          <w:sz w:val="24"/>
        </w:rPr>
        <w:t>P</w:t>
      </w:r>
      <w:r w:rsidRPr="008F17A2">
        <w:rPr>
          <w:rFonts w:eastAsia="Calibri"/>
          <w:color w:val="auto"/>
          <w:spacing w:val="0"/>
          <w:sz w:val="24"/>
        </w:rPr>
        <w:t>ress</w:t>
      </w:r>
      <w:r w:rsidR="007A2A13" w:rsidRPr="008F17A2">
        <w:rPr>
          <w:rFonts w:eastAsia="Calibri"/>
          <w:color w:val="auto"/>
          <w:spacing w:val="0"/>
          <w:sz w:val="24"/>
        </w:rPr>
        <w:t xml:space="preserve">, </w:t>
      </w:r>
      <w:r w:rsidR="00896C1A" w:rsidRPr="008F17A2">
        <w:rPr>
          <w:rFonts w:eastAsia="Calibri"/>
          <w:color w:val="auto"/>
          <w:spacing w:val="0"/>
          <w:sz w:val="24"/>
        </w:rPr>
        <w:t>M</w:t>
      </w:r>
      <w:r w:rsidR="00473382" w:rsidRPr="008F17A2">
        <w:rPr>
          <w:rFonts w:eastAsia="Calibri"/>
          <w:color w:val="auto"/>
          <w:spacing w:val="0"/>
          <w:sz w:val="24"/>
        </w:rPr>
        <w:t>ollick</w:t>
      </w:r>
      <w:r w:rsidR="00506A05" w:rsidRPr="008F17A2">
        <w:rPr>
          <w:rFonts w:eastAsia="Calibri"/>
          <w:color w:val="auto"/>
          <w:spacing w:val="0"/>
          <w:sz w:val="24"/>
        </w:rPr>
        <w:t>, A. V.</w:t>
      </w:r>
      <w:r w:rsidR="00896C1A" w:rsidRPr="008F17A2">
        <w:rPr>
          <w:rFonts w:eastAsia="Calibri"/>
          <w:color w:val="auto"/>
          <w:spacing w:val="0"/>
          <w:sz w:val="24"/>
        </w:rPr>
        <w:t xml:space="preserve"> </w:t>
      </w:r>
    </w:p>
    <w:p w:rsidR="00B13B43" w:rsidRPr="008F17A2" w:rsidRDefault="00B13B43" w:rsidP="008F17A2">
      <w:pPr>
        <w:spacing w:line="360" w:lineRule="auto"/>
        <w:ind w:left="993" w:hanging="993"/>
        <w:jc w:val="both"/>
        <w:rPr>
          <w:rFonts w:eastAsia="Calibri"/>
          <w:color w:val="auto"/>
          <w:spacing w:val="0"/>
          <w:sz w:val="24"/>
        </w:rPr>
      </w:pPr>
      <w:r w:rsidRPr="008F17A2">
        <w:rPr>
          <w:rFonts w:eastAsia="Calibri"/>
          <w:color w:val="auto"/>
          <w:spacing w:val="0"/>
          <w:sz w:val="24"/>
        </w:rPr>
        <w:t>Overman, H. G., y Puga, D. (2002). Unemployment clusters across Europe's regions and countries.</w:t>
      </w:r>
      <w:r w:rsidRPr="008F17A2">
        <w:rPr>
          <w:rFonts w:eastAsia="Calibri"/>
          <w:color w:val="auto"/>
          <w:spacing w:val="0"/>
        </w:rPr>
        <w:t> </w:t>
      </w:r>
      <w:r w:rsidRPr="008F17A2">
        <w:rPr>
          <w:rFonts w:eastAsia="Calibri"/>
          <w:color w:val="auto"/>
          <w:spacing w:val="0"/>
          <w:sz w:val="24"/>
        </w:rPr>
        <w:t>Economic policy,</w:t>
      </w:r>
      <w:r w:rsidRPr="008F17A2">
        <w:rPr>
          <w:rFonts w:eastAsia="Calibri"/>
          <w:color w:val="auto"/>
          <w:spacing w:val="0"/>
        </w:rPr>
        <w:t> </w:t>
      </w:r>
      <w:r w:rsidRPr="008F17A2">
        <w:rPr>
          <w:rFonts w:eastAsia="Calibri"/>
          <w:color w:val="auto"/>
          <w:spacing w:val="0"/>
          <w:sz w:val="24"/>
        </w:rPr>
        <w:t xml:space="preserve">17(34), </w:t>
      </w:r>
      <w:r w:rsidR="007A2A13" w:rsidRPr="008F17A2">
        <w:rPr>
          <w:rFonts w:eastAsia="Calibri"/>
          <w:color w:val="auto"/>
          <w:spacing w:val="0"/>
          <w:sz w:val="24"/>
        </w:rPr>
        <w:t xml:space="preserve">pp. </w:t>
      </w:r>
      <w:r w:rsidRPr="008F17A2">
        <w:rPr>
          <w:rFonts w:eastAsia="Calibri"/>
          <w:color w:val="auto"/>
          <w:spacing w:val="0"/>
          <w:sz w:val="24"/>
        </w:rPr>
        <w:t>115-148.</w:t>
      </w:r>
    </w:p>
    <w:p w:rsidR="00896C1A" w:rsidRPr="008F17A2" w:rsidRDefault="00896C1A" w:rsidP="008F17A2">
      <w:pPr>
        <w:spacing w:line="360" w:lineRule="auto"/>
        <w:ind w:left="993" w:hanging="993"/>
        <w:jc w:val="both"/>
        <w:rPr>
          <w:rFonts w:eastAsia="Calibri"/>
          <w:color w:val="auto"/>
          <w:spacing w:val="0"/>
          <w:sz w:val="24"/>
        </w:rPr>
      </w:pPr>
      <w:r w:rsidRPr="008F17A2">
        <w:rPr>
          <w:rFonts w:eastAsia="Calibri"/>
          <w:color w:val="auto"/>
          <w:spacing w:val="0"/>
          <w:sz w:val="24"/>
        </w:rPr>
        <w:t>R</w:t>
      </w:r>
      <w:r w:rsidR="00473382" w:rsidRPr="008F17A2">
        <w:rPr>
          <w:rFonts w:eastAsia="Calibri"/>
          <w:color w:val="auto"/>
          <w:spacing w:val="0"/>
          <w:sz w:val="24"/>
        </w:rPr>
        <w:t xml:space="preserve">aff, </w:t>
      </w:r>
      <w:r w:rsidRPr="008F17A2">
        <w:rPr>
          <w:rFonts w:eastAsia="Calibri"/>
          <w:color w:val="auto"/>
          <w:spacing w:val="0"/>
          <w:sz w:val="24"/>
        </w:rPr>
        <w:t xml:space="preserve">H. (2004). </w:t>
      </w:r>
      <w:r w:rsidR="00473382" w:rsidRPr="008F17A2">
        <w:rPr>
          <w:rFonts w:eastAsia="Calibri"/>
          <w:color w:val="auto"/>
          <w:spacing w:val="0"/>
          <w:sz w:val="24"/>
        </w:rPr>
        <w:t>“</w:t>
      </w:r>
      <w:r w:rsidRPr="008F17A2">
        <w:rPr>
          <w:rFonts w:eastAsia="Calibri"/>
          <w:color w:val="auto"/>
          <w:spacing w:val="0"/>
          <w:sz w:val="24"/>
        </w:rPr>
        <w:t>Preferential trade agreements and tax competition for foreign direct investment</w:t>
      </w:r>
      <w:r w:rsidR="00473382" w:rsidRPr="008F17A2">
        <w:rPr>
          <w:rFonts w:eastAsia="Calibri"/>
          <w:color w:val="auto"/>
          <w:spacing w:val="0"/>
          <w:sz w:val="24"/>
        </w:rPr>
        <w:t>”.</w:t>
      </w:r>
      <w:r w:rsidRPr="008F17A2">
        <w:rPr>
          <w:rFonts w:eastAsia="Calibri"/>
          <w:color w:val="auto"/>
          <w:spacing w:val="0"/>
          <w:sz w:val="24"/>
        </w:rPr>
        <w:t xml:space="preserve"> Journal of Public Economics 88,</w:t>
      </w:r>
      <w:r w:rsidR="007A2A13" w:rsidRPr="008F17A2">
        <w:rPr>
          <w:rFonts w:eastAsia="Calibri"/>
          <w:color w:val="auto"/>
          <w:spacing w:val="0"/>
          <w:sz w:val="24"/>
        </w:rPr>
        <w:t xml:space="preserve"> pp.</w:t>
      </w:r>
      <w:r w:rsidRPr="008F17A2">
        <w:rPr>
          <w:rFonts w:eastAsia="Calibri"/>
          <w:color w:val="auto"/>
          <w:spacing w:val="0"/>
          <w:sz w:val="24"/>
        </w:rPr>
        <w:t xml:space="preserve"> 2745-2763.</w:t>
      </w:r>
    </w:p>
    <w:p w:rsidR="006F2BE4" w:rsidRPr="008F17A2" w:rsidRDefault="00896C1A" w:rsidP="008F17A2">
      <w:pPr>
        <w:spacing w:line="360" w:lineRule="auto"/>
        <w:ind w:left="993" w:hanging="993"/>
        <w:jc w:val="both"/>
        <w:rPr>
          <w:rFonts w:ascii="Arial" w:hAnsi="Arial" w:cs="Arial"/>
          <w:sz w:val="24"/>
          <w:lang w:val="en-US"/>
        </w:rPr>
      </w:pPr>
      <w:r w:rsidRPr="008F17A2">
        <w:rPr>
          <w:rFonts w:eastAsia="Calibri"/>
          <w:color w:val="auto"/>
          <w:spacing w:val="0"/>
          <w:sz w:val="24"/>
        </w:rPr>
        <w:t>Y</w:t>
      </w:r>
      <w:r w:rsidR="00473382" w:rsidRPr="008F17A2">
        <w:rPr>
          <w:rFonts w:eastAsia="Calibri"/>
          <w:color w:val="auto"/>
          <w:spacing w:val="0"/>
          <w:sz w:val="24"/>
        </w:rPr>
        <w:t xml:space="preserve">eaple, </w:t>
      </w:r>
      <w:r w:rsidRPr="008F17A2">
        <w:rPr>
          <w:rFonts w:eastAsia="Calibri"/>
          <w:color w:val="auto"/>
          <w:spacing w:val="0"/>
          <w:sz w:val="24"/>
        </w:rPr>
        <w:t xml:space="preserve">S.R. (2003). </w:t>
      </w:r>
      <w:r w:rsidR="00473382" w:rsidRPr="008F17A2">
        <w:rPr>
          <w:rFonts w:eastAsia="Calibri"/>
          <w:color w:val="auto"/>
          <w:spacing w:val="0"/>
          <w:sz w:val="24"/>
        </w:rPr>
        <w:t>“</w:t>
      </w:r>
      <w:r w:rsidRPr="008F17A2">
        <w:rPr>
          <w:rFonts w:eastAsia="Calibri"/>
          <w:color w:val="auto"/>
          <w:spacing w:val="0"/>
          <w:sz w:val="24"/>
        </w:rPr>
        <w:t>The complex integration strategies of multinational firms and crosscountry dependencies in the structure of foreign direct investment</w:t>
      </w:r>
      <w:r w:rsidR="00473382" w:rsidRPr="008F17A2">
        <w:rPr>
          <w:rFonts w:eastAsia="Calibri"/>
          <w:color w:val="auto"/>
          <w:spacing w:val="0"/>
          <w:sz w:val="24"/>
        </w:rPr>
        <w:t>”.</w:t>
      </w:r>
      <w:r w:rsidRPr="008F17A2">
        <w:rPr>
          <w:rFonts w:eastAsia="Calibri"/>
          <w:color w:val="auto"/>
          <w:spacing w:val="0"/>
          <w:sz w:val="24"/>
        </w:rPr>
        <w:t xml:space="preserve"> Journal of Inter</w:t>
      </w:r>
      <w:r w:rsidR="00582CE9" w:rsidRPr="008F17A2">
        <w:rPr>
          <w:rFonts w:eastAsia="Calibri"/>
          <w:color w:val="auto"/>
          <w:spacing w:val="0"/>
          <w:sz w:val="24"/>
        </w:rPr>
        <w:t xml:space="preserve">national Economics 60, </w:t>
      </w:r>
      <w:r w:rsidR="007A2A13" w:rsidRPr="008F17A2">
        <w:rPr>
          <w:rFonts w:eastAsia="Calibri"/>
          <w:color w:val="auto"/>
          <w:spacing w:val="0"/>
          <w:sz w:val="24"/>
        </w:rPr>
        <w:t xml:space="preserve">pp. </w:t>
      </w:r>
      <w:r w:rsidR="00582CE9" w:rsidRPr="008F17A2">
        <w:rPr>
          <w:rFonts w:eastAsia="Calibri"/>
          <w:color w:val="auto"/>
          <w:spacing w:val="0"/>
          <w:sz w:val="24"/>
        </w:rPr>
        <w:t>293-314.</w:t>
      </w:r>
    </w:p>
    <w:p w:rsidR="00492637" w:rsidRPr="008F17A2" w:rsidRDefault="00492637" w:rsidP="008F17A2">
      <w:pPr>
        <w:spacing w:line="360" w:lineRule="auto"/>
        <w:ind w:left="993" w:hanging="993"/>
        <w:jc w:val="both"/>
        <w:rPr>
          <w:rFonts w:eastAsia="Calibri"/>
          <w:color w:val="auto"/>
          <w:spacing w:val="0"/>
          <w:sz w:val="24"/>
        </w:rPr>
      </w:pPr>
      <w:r w:rsidRPr="008F17A2">
        <w:rPr>
          <w:rFonts w:eastAsia="Calibri"/>
          <w:color w:val="auto"/>
          <w:spacing w:val="0"/>
          <w:sz w:val="24"/>
        </w:rPr>
        <w:t>Faya (2010). “</w:t>
      </w:r>
      <w:r w:rsidRPr="008F17A2">
        <w:rPr>
          <w:rFonts w:eastAsia="Calibri"/>
          <w:iCs/>
          <w:color w:val="auto"/>
          <w:spacing w:val="0"/>
          <w:sz w:val="24"/>
        </w:rPr>
        <w:t>Fortalecer a los reguladores cambiando las reglas del juego en México”</w:t>
      </w:r>
      <w:r w:rsidRPr="008F17A2">
        <w:rPr>
          <w:rFonts w:eastAsia="Calibri"/>
          <w:color w:val="auto"/>
          <w:spacing w:val="0"/>
          <w:sz w:val="24"/>
        </w:rPr>
        <w:t>. Disponible en:</w:t>
      </w:r>
    </w:p>
    <w:p w:rsidR="00492637" w:rsidRPr="008F17A2" w:rsidRDefault="00492637"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 </w:t>
      </w:r>
      <w:hyperlink r:id="rId15" w:history="1">
        <w:r w:rsidRPr="008F17A2">
          <w:rPr>
            <w:rFonts w:eastAsia="Calibri"/>
            <w:color w:val="auto"/>
            <w:spacing w:val="0"/>
            <w:sz w:val="24"/>
          </w:rPr>
          <w:t>http://works.bepress.com/alejandro_faya_rodriguez/45</w:t>
        </w:r>
      </w:hyperlink>
      <w:r w:rsidRPr="008F17A2">
        <w:rPr>
          <w:rFonts w:eastAsia="Calibri"/>
          <w:color w:val="auto"/>
          <w:spacing w:val="0"/>
          <w:sz w:val="24"/>
        </w:rPr>
        <w:t xml:space="preserve"> 20 de junio de 2014. </w:t>
      </w:r>
    </w:p>
    <w:p w:rsidR="00492637" w:rsidRPr="008F17A2" w:rsidRDefault="00492637"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Samford S. &amp; Ortega P. (2014) “Subnational politics and foreign direct investment in Mexico”. Review of International Political Economy. 21:2, pp. 467-496. DOI: 10.1080/09692290.2012.733316 </w:t>
      </w:r>
    </w:p>
    <w:p w:rsidR="00492637" w:rsidRPr="008F17A2" w:rsidRDefault="00492637" w:rsidP="008F17A2">
      <w:pPr>
        <w:spacing w:line="360" w:lineRule="auto"/>
        <w:ind w:left="993" w:hanging="993"/>
        <w:jc w:val="both"/>
        <w:rPr>
          <w:rFonts w:eastAsia="Calibri"/>
          <w:color w:val="auto"/>
          <w:spacing w:val="0"/>
          <w:sz w:val="24"/>
        </w:rPr>
      </w:pPr>
      <w:r w:rsidRPr="008F17A2">
        <w:rPr>
          <w:rFonts w:eastAsia="Calibri"/>
          <w:color w:val="auto"/>
          <w:spacing w:val="0"/>
          <w:sz w:val="24"/>
        </w:rPr>
        <w:t xml:space="preserve">Secretaría de Economía (2013). Estadísticas sobre inversión extranjera directa. 2013 disponible en </w:t>
      </w:r>
      <w:hyperlink r:id="rId16" w:history="1">
        <w:r w:rsidRPr="008F17A2">
          <w:rPr>
            <w:rFonts w:eastAsia="Calibri"/>
            <w:color w:val="auto"/>
            <w:spacing w:val="0"/>
            <w:sz w:val="24"/>
          </w:rPr>
          <w:t>www.economia.gob.mx/</w:t>
        </w:r>
      </w:hyperlink>
      <w:r w:rsidRPr="008F17A2">
        <w:rPr>
          <w:rFonts w:eastAsia="Calibri"/>
          <w:color w:val="auto"/>
          <w:spacing w:val="0"/>
          <w:sz w:val="24"/>
        </w:rPr>
        <w:t xml:space="preserve"> 13 noviembre, 2013.</w:t>
      </w:r>
    </w:p>
    <w:p w:rsidR="00492637" w:rsidRPr="008F17A2" w:rsidRDefault="00492637" w:rsidP="008F17A2">
      <w:pPr>
        <w:spacing w:line="360" w:lineRule="auto"/>
        <w:ind w:left="993" w:hanging="993"/>
        <w:jc w:val="both"/>
        <w:rPr>
          <w:rFonts w:eastAsia="Calibri"/>
          <w:color w:val="auto"/>
          <w:spacing w:val="0"/>
          <w:sz w:val="24"/>
        </w:rPr>
      </w:pPr>
      <w:r w:rsidRPr="008F17A2">
        <w:rPr>
          <w:rFonts w:eastAsia="Calibri"/>
          <w:color w:val="auto"/>
          <w:spacing w:val="0"/>
          <w:sz w:val="24"/>
        </w:rPr>
        <w:lastRenderedPageBreak/>
        <w:t xml:space="preserve">Smarzynska, Beata K. &amp; Wei, Shang-jin (2002). “Corruption and the Composition of Foreign Direct Investment: Firm-level Evidence”. National Bureau of Economic Research Working Paper No. 7969.  Accessed 15 October 2010. </w:t>
      </w:r>
      <w:hyperlink r:id="rId17" w:history="1">
        <w:r w:rsidRPr="008F17A2">
          <w:rPr>
            <w:rFonts w:eastAsia="Calibri"/>
            <w:color w:val="auto"/>
            <w:spacing w:val="0"/>
            <w:sz w:val="24"/>
          </w:rPr>
          <w:t>http://www.nber.org/papers/w7969</w:t>
        </w:r>
      </w:hyperlink>
      <w:r w:rsidRPr="008F17A2">
        <w:rPr>
          <w:rFonts w:eastAsia="Calibri"/>
          <w:color w:val="auto"/>
          <w:spacing w:val="0"/>
          <w:sz w:val="24"/>
        </w:rPr>
        <w:t>.</w:t>
      </w:r>
    </w:p>
    <w:p w:rsidR="00492637" w:rsidRPr="00A34C42" w:rsidRDefault="00492637" w:rsidP="008F17A2">
      <w:pPr>
        <w:spacing w:line="360" w:lineRule="auto"/>
        <w:ind w:left="993" w:hanging="993"/>
        <w:jc w:val="both"/>
        <w:rPr>
          <w:rFonts w:ascii="Arial" w:hAnsi="Arial" w:cs="Arial"/>
          <w:sz w:val="24"/>
          <w:shd w:val="clear" w:color="auto" w:fill="FFFFFF"/>
        </w:rPr>
      </w:pPr>
      <w:r w:rsidRPr="008F17A2">
        <w:rPr>
          <w:rFonts w:eastAsia="Calibri"/>
          <w:color w:val="auto"/>
          <w:spacing w:val="0"/>
          <w:sz w:val="24"/>
        </w:rPr>
        <w:t xml:space="preserve">United Nations Conference on Trade and Development (2013). World Investment Report. 2013: Global value chains: investment and trade for development. Disponible en: </w:t>
      </w:r>
      <w:hyperlink r:id="rId18" w:history="1">
        <w:r w:rsidRPr="008F17A2">
          <w:rPr>
            <w:rFonts w:eastAsia="Calibri"/>
            <w:color w:val="auto"/>
            <w:spacing w:val="0"/>
            <w:sz w:val="22"/>
          </w:rPr>
          <w:t>http://unctad.org/en/publicationslibrary/wir2013_en.pdf</w:t>
        </w:r>
      </w:hyperlink>
      <w:r w:rsidRPr="008F17A2">
        <w:rPr>
          <w:rFonts w:eastAsia="Calibri"/>
          <w:color w:val="auto"/>
          <w:spacing w:val="0"/>
          <w:sz w:val="24"/>
        </w:rPr>
        <w:t xml:space="preserve">  13 de enero de 2014.</w:t>
      </w:r>
      <w:r>
        <w:rPr>
          <w:rFonts w:ascii="Arial" w:hAnsi="Arial" w:cs="Arial"/>
          <w:sz w:val="24"/>
          <w:shd w:val="clear" w:color="auto" w:fill="FFFFFF"/>
        </w:rPr>
        <w:t xml:space="preserve"> </w:t>
      </w:r>
    </w:p>
    <w:p w:rsidR="00492637" w:rsidRPr="006F2BE4" w:rsidRDefault="00492637" w:rsidP="006C2E9D">
      <w:pPr>
        <w:autoSpaceDE w:val="0"/>
        <w:autoSpaceDN w:val="0"/>
        <w:adjustRightInd w:val="0"/>
        <w:spacing w:line="480" w:lineRule="auto"/>
        <w:jc w:val="both"/>
        <w:rPr>
          <w:rFonts w:ascii="Arial" w:hAnsi="Arial" w:cs="Arial"/>
          <w:sz w:val="24"/>
        </w:rPr>
      </w:pPr>
    </w:p>
    <w:sectPr w:rsidR="00492637" w:rsidRPr="006F2BE4" w:rsidSect="0055698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4A8" w:rsidRDefault="006104A8" w:rsidP="00BD49AC">
      <w:pPr>
        <w:spacing w:after="0" w:line="240" w:lineRule="auto"/>
      </w:pPr>
      <w:r>
        <w:separator/>
      </w:r>
    </w:p>
  </w:endnote>
  <w:endnote w:type="continuationSeparator" w:id="0">
    <w:p w:rsidR="006104A8" w:rsidRDefault="006104A8" w:rsidP="00BD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A2" w:rsidRDefault="008F17A2">
    <w:pPr>
      <w:pStyle w:val="Piedepgina"/>
      <w:jc w:val="right"/>
    </w:pPr>
  </w:p>
  <w:p w:rsidR="008F17A2" w:rsidRDefault="00B10667" w:rsidP="00B10667">
    <w:pPr>
      <w:pStyle w:val="Piedepgina"/>
      <w:jc w:val="center"/>
    </w:pPr>
    <w:r w:rsidRPr="00940454">
      <w:rPr>
        <w:rFonts w:ascii="Calibri" w:eastAsia="MS Mincho" w:hAnsi="Calibri" w:cs="Calibri"/>
        <w:b/>
        <w:lang w:eastAsia="es-MX"/>
      </w:rPr>
      <w:t xml:space="preserve">Vol. </w:t>
    </w:r>
    <w:r>
      <w:rPr>
        <w:rFonts w:ascii="Calibri" w:eastAsia="MS Mincho" w:hAnsi="Calibri" w:cs="Calibri"/>
        <w:b/>
        <w:lang w:eastAsia="es-MX"/>
      </w:rPr>
      <w:t>4, Núm. 8</w:t>
    </w:r>
    <w:r w:rsidRPr="00940454">
      <w:rPr>
        <w:rFonts w:ascii="Calibri" w:eastAsia="MS Mincho" w:hAnsi="Calibri" w:cs="Calibri"/>
        <w:b/>
        <w:lang w:eastAsia="es-MX"/>
      </w:rPr>
      <w:t xml:space="preserve">         </w:t>
    </w:r>
    <w:r>
      <w:rPr>
        <w:rFonts w:ascii="Calibri" w:eastAsia="MS Mincho" w:hAnsi="Calibri" w:cs="Calibri"/>
        <w:b/>
        <w:lang w:eastAsia="es-MX"/>
      </w:rPr>
      <w:t xml:space="preserve">          Julio - Diciembre 2015</w:t>
    </w:r>
    <w:r w:rsidRPr="00940454">
      <w:rPr>
        <w:rFonts w:ascii="Calibri" w:eastAsia="MS Mincho" w:hAnsi="Calibri" w:cs="Calibri"/>
        <w:b/>
        <w:lang w:eastAsia="es-MX"/>
      </w:rPr>
      <w:t xml:space="preserve">               RICEA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A2" w:rsidRDefault="008F17A2" w:rsidP="008F17A2">
    <w:pPr>
      <w:pStyle w:val="Piedepgina"/>
      <w:jc w:val="center"/>
    </w:pPr>
    <w:r w:rsidRPr="00940454">
      <w:rPr>
        <w:rFonts w:ascii="Calibri" w:eastAsia="MS Mincho" w:hAnsi="Calibri" w:cs="Calibri"/>
        <w:b/>
        <w:lang w:eastAsia="es-MX"/>
      </w:rPr>
      <w:t xml:space="preserve">Vol. </w:t>
    </w:r>
    <w:r>
      <w:rPr>
        <w:rFonts w:ascii="Calibri" w:eastAsia="MS Mincho" w:hAnsi="Calibri" w:cs="Calibri"/>
        <w:b/>
        <w:lang w:eastAsia="es-MX"/>
      </w:rPr>
      <w:t>4, Núm. 8</w:t>
    </w:r>
    <w:r w:rsidRPr="00940454">
      <w:rPr>
        <w:rFonts w:ascii="Calibri" w:eastAsia="MS Mincho" w:hAnsi="Calibri" w:cs="Calibri"/>
        <w:b/>
        <w:lang w:eastAsia="es-MX"/>
      </w:rPr>
      <w:t xml:space="preserve">         </w:t>
    </w:r>
    <w:r>
      <w:rPr>
        <w:rFonts w:ascii="Calibri" w:eastAsia="MS Mincho" w:hAnsi="Calibri" w:cs="Calibri"/>
        <w:b/>
        <w:lang w:eastAsia="es-MX"/>
      </w:rPr>
      <w:t xml:space="preserve">          Julio - Diciembre 2015</w:t>
    </w:r>
    <w:r w:rsidRPr="00940454">
      <w:rPr>
        <w:rFonts w:ascii="Calibri" w:eastAsia="MS Mincho" w:hAnsi="Calibri" w:cs="Calibri"/>
        <w:b/>
        <w:lang w:eastAsia="es-MX"/>
      </w:rPr>
      <w:t xml:space="preserve">               RICEA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A2" w:rsidRDefault="00B10667" w:rsidP="00B10667">
    <w:pPr>
      <w:pStyle w:val="Piedepgina"/>
      <w:jc w:val="center"/>
    </w:pPr>
    <w:r w:rsidRPr="00940454">
      <w:rPr>
        <w:rFonts w:ascii="Calibri" w:eastAsia="MS Mincho" w:hAnsi="Calibri" w:cs="Calibri"/>
        <w:b/>
        <w:lang w:eastAsia="es-MX"/>
      </w:rPr>
      <w:t xml:space="preserve">Vol. </w:t>
    </w:r>
    <w:r>
      <w:rPr>
        <w:rFonts w:ascii="Calibri" w:eastAsia="MS Mincho" w:hAnsi="Calibri" w:cs="Calibri"/>
        <w:b/>
        <w:lang w:eastAsia="es-MX"/>
      </w:rPr>
      <w:t>4, Núm. 8</w:t>
    </w:r>
    <w:r w:rsidRPr="00940454">
      <w:rPr>
        <w:rFonts w:ascii="Calibri" w:eastAsia="MS Mincho" w:hAnsi="Calibri" w:cs="Calibri"/>
        <w:b/>
        <w:lang w:eastAsia="es-MX"/>
      </w:rPr>
      <w:t xml:space="preserve">         </w:t>
    </w:r>
    <w:r>
      <w:rPr>
        <w:rFonts w:ascii="Calibri" w:eastAsia="MS Mincho" w:hAnsi="Calibri" w:cs="Calibri"/>
        <w:b/>
        <w:lang w:eastAsia="es-MX"/>
      </w:rPr>
      <w:t xml:space="preserve">          Julio - Diciembre 2015</w:t>
    </w:r>
    <w:r w:rsidRPr="00940454">
      <w:rPr>
        <w:rFonts w:ascii="Calibri" w:eastAsia="MS Mincho" w:hAnsi="Calibri" w:cs="Calibri"/>
        <w:b/>
        <w:lang w:eastAsia="es-MX"/>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4A8" w:rsidRDefault="006104A8" w:rsidP="00BD49AC">
      <w:pPr>
        <w:spacing w:after="0" w:line="240" w:lineRule="auto"/>
      </w:pPr>
      <w:r>
        <w:separator/>
      </w:r>
    </w:p>
  </w:footnote>
  <w:footnote w:type="continuationSeparator" w:id="0">
    <w:p w:rsidR="006104A8" w:rsidRDefault="006104A8" w:rsidP="00BD49AC">
      <w:pPr>
        <w:spacing w:after="0" w:line="240" w:lineRule="auto"/>
      </w:pPr>
      <w:r>
        <w:continuationSeparator/>
      </w:r>
    </w:p>
  </w:footnote>
  <w:footnote w:id="1">
    <w:p w:rsidR="008F17A2" w:rsidRPr="00023105" w:rsidRDefault="008F17A2" w:rsidP="00307CB8">
      <w:pPr>
        <w:pStyle w:val="Textonotapie"/>
        <w:rPr>
          <w:rFonts w:ascii="Book Antiqua" w:hAnsi="Book Antiqua"/>
          <w:sz w:val="18"/>
          <w:szCs w:val="18"/>
        </w:rPr>
      </w:pPr>
      <w:r w:rsidRPr="00023105">
        <w:rPr>
          <w:rStyle w:val="Refdenotaalpie"/>
          <w:rFonts w:ascii="Book Antiqua" w:hAnsi="Book Antiqua"/>
          <w:sz w:val="18"/>
          <w:szCs w:val="18"/>
        </w:rPr>
        <w:footnoteRef/>
      </w:r>
      <w:r w:rsidRPr="00023105">
        <w:rPr>
          <w:rFonts w:ascii="Book Antiqua" w:hAnsi="Book Antiqua"/>
          <w:sz w:val="18"/>
          <w:szCs w:val="18"/>
        </w:rPr>
        <w:t xml:space="preserve"> 90</w:t>
      </w:r>
      <w:r>
        <w:rPr>
          <w:rFonts w:ascii="Book Antiqua" w:hAnsi="Book Antiqua"/>
          <w:sz w:val="18"/>
          <w:szCs w:val="18"/>
        </w:rPr>
        <w:t xml:space="preserve"> </w:t>
      </w:r>
      <w:r w:rsidRPr="00023105">
        <w:rPr>
          <w:rFonts w:ascii="Book Antiqua" w:hAnsi="Book Antiqua"/>
          <w:sz w:val="18"/>
          <w:szCs w:val="18"/>
        </w:rPr>
        <w:t>%, 95</w:t>
      </w:r>
      <w:r>
        <w:rPr>
          <w:rFonts w:ascii="Book Antiqua" w:hAnsi="Book Antiqua"/>
          <w:sz w:val="18"/>
          <w:szCs w:val="18"/>
        </w:rPr>
        <w:t xml:space="preserve"> </w:t>
      </w:r>
      <w:r w:rsidRPr="00023105">
        <w:rPr>
          <w:rFonts w:ascii="Book Antiqua" w:hAnsi="Book Antiqua"/>
          <w:sz w:val="18"/>
          <w:szCs w:val="18"/>
        </w:rPr>
        <w:t>%, 99</w:t>
      </w:r>
      <w:r>
        <w:rPr>
          <w:rFonts w:ascii="Book Antiqua" w:hAnsi="Book Antiqua"/>
          <w:sz w:val="18"/>
          <w:szCs w:val="18"/>
        </w:rPr>
        <w:t xml:space="preserve"> </w:t>
      </w:r>
      <w:r w:rsidRPr="00023105">
        <w:rPr>
          <w:rFonts w:ascii="Book Antiqua" w:hAnsi="Book Antiqu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A2" w:rsidRDefault="008F17A2" w:rsidP="00B10667">
    <w:pPr>
      <w:pStyle w:val="Encabezado"/>
      <w:ind w:right="-285"/>
      <w:jc w:val="center"/>
    </w:pPr>
    <w:r w:rsidRPr="00940454">
      <w:rPr>
        <w:rFonts w:ascii="Calibri" w:eastAsia="MS Mincho" w:hAnsi="Calibri" w:cs="Calibri"/>
        <w:b/>
        <w:i/>
        <w:lang w:eastAsia="es-MX"/>
      </w:rPr>
      <w:t>Revista Iberoamericana de Contaduría, Economía y Adm</w:t>
    </w:r>
    <w:r>
      <w:rPr>
        <w:rFonts w:ascii="Calibri" w:eastAsia="MS Mincho" w:hAnsi="Calibri" w:cs="Calibri"/>
        <w:b/>
        <w:i/>
        <w:lang w:eastAsia="es-MX"/>
      </w:rPr>
      <w:t xml:space="preserve">inistración                   </w:t>
    </w:r>
    <w:r w:rsidRPr="008F17A2">
      <w:rPr>
        <w:rFonts w:ascii="Calibri" w:eastAsia="MS Mincho" w:hAnsi="Calibri" w:cs="Calibri"/>
        <w:b/>
        <w:lang w:eastAsia="es-MX"/>
      </w:rPr>
      <w:t>ISSN: 2007 - 9907</w:t>
    </w:r>
  </w:p>
  <w:p w:rsidR="008F17A2" w:rsidRDefault="008F17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A2" w:rsidRDefault="008F17A2" w:rsidP="00B10667">
    <w:pPr>
      <w:pStyle w:val="Encabezado"/>
      <w:jc w:val="center"/>
    </w:pPr>
    <w:r w:rsidRPr="00940454">
      <w:rPr>
        <w:rFonts w:ascii="Calibri" w:eastAsia="MS Mincho" w:hAnsi="Calibri" w:cs="Calibri"/>
        <w:b/>
        <w:i/>
        <w:lang w:eastAsia="es-MX"/>
      </w:rPr>
      <w:t>Revista Iberoamericana de Contaduría, Economía y Adm</w:t>
    </w:r>
    <w:r>
      <w:rPr>
        <w:rFonts w:ascii="Calibri" w:eastAsia="MS Mincho" w:hAnsi="Calibri" w:cs="Calibri"/>
        <w:b/>
        <w:i/>
        <w:lang w:eastAsia="es-MX"/>
      </w:rPr>
      <w:t xml:space="preserve">inistración                   </w:t>
    </w:r>
    <w:r w:rsidRPr="008F17A2">
      <w:rPr>
        <w:rFonts w:ascii="Calibri" w:eastAsia="MS Mincho" w:hAnsi="Calibri" w:cs="Calibri"/>
        <w:b/>
        <w:lang w:eastAsia="es-MX"/>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8EA"/>
    <w:multiLevelType w:val="hybridMultilevel"/>
    <w:tmpl w:val="A7C6F02E"/>
    <w:lvl w:ilvl="0" w:tplc="E564AF0A">
      <w:start w:val="1"/>
      <w:numFmt w:val="bullet"/>
      <w:lvlText w:val="-"/>
      <w:lvlJc w:val="left"/>
      <w:pPr>
        <w:ind w:left="720" w:hanging="360"/>
      </w:pPr>
      <w:rPr>
        <w:rFonts w:ascii="Book Antiqua" w:eastAsia="Calibri" w:hAnsi="Book Antiqu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4425"/>
    <w:multiLevelType w:val="multilevel"/>
    <w:tmpl w:val="1096BA44"/>
    <w:lvl w:ilvl="0">
      <w:start w:val="1"/>
      <w:numFmt w:val="bullet"/>
      <w:lvlText w:val="•"/>
      <w:lvlJc w:val="left"/>
      <w:pPr>
        <w:tabs>
          <w:tab w:val="num" w:pos="792"/>
        </w:tabs>
        <w:ind w:left="792"/>
      </w:pPr>
      <w:rPr>
        <w:position w:val="0"/>
        <w:sz w:val="24"/>
        <w:szCs w:val="24"/>
      </w:rPr>
    </w:lvl>
    <w:lvl w:ilvl="1">
      <w:numFmt w:val="bullet"/>
      <w:lvlText w:val="o"/>
      <w:lvlJc w:val="left"/>
      <w:pPr>
        <w:tabs>
          <w:tab w:val="num" w:pos="1598"/>
        </w:tabs>
        <w:ind w:left="1598" w:hanging="518"/>
      </w:pPr>
      <w:rPr>
        <w:position w:val="0"/>
        <w:sz w:val="20"/>
        <w:szCs w:val="20"/>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2" w15:restartNumberingAfterBreak="0">
    <w:nsid w:val="116E63DC"/>
    <w:multiLevelType w:val="hybridMultilevel"/>
    <w:tmpl w:val="200CCDBC"/>
    <w:lvl w:ilvl="0" w:tplc="D24646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7A762D"/>
    <w:multiLevelType w:val="multilevel"/>
    <w:tmpl w:val="BDBC507C"/>
    <w:lvl w:ilvl="0">
      <w:numFmt w:val="bullet"/>
      <w:lvlText w:val="•"/>
      <w:lvlJc w:val="left"/>
      <w:pPr>
        <w:tabs>
          <w:tab w:val="num" w:pos="878"/>
        </w:tabs>
        <w:ind w:left="878" w:hanging="518"/>
      </w:pPr>
      <w:rPr>
        <w:position w:val="0"/>
        <w:sz w:val="20"/>
        <w:szCs w:val="20"/>
      </w:rPr>
    </w:lvl>
    <w:lvl w:ilvl="1">
      <w:start w:val="1"/>
      <w:numFmt w:val="bullet"/>
      <w:lvlText w:val="o"/>
      <w:lvlJc w:val="left"/>
      <w:pPr>
        <w:tabs>
          <w:tab w:val="num" w:pos="1512"/>
        </w:tabs>
        <w:ind w:left="1512"/>
      </w:pPr>
      <w:rPr>
        <w:position w:val="0"/>
        <w:sz w:val="24"/>
        <w:szCs w:val="24"/>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4" w15:restartNumberingAfterBreak="0">
    <w:nsid w:val="138A566F"/>
    <w:multiLevelType w:val="hybridMultilevel"/>
    <w:tmpl w:val="5D447CC4"/>
    <w:lvl w:ilvl="0" w:tplc="7040AB8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37544F"/>
    <w:multiLevelType w:val="multilevel"/>
    <w:tmpl w:val="1FBA6E3C"/>
    <w:lvl w:ilvl="0">
      <w:start w:val="1"/>
      <w:numFmt w:val="bullet"/>
      <w:lvlText w:val="•"/>
      <w:lvlJc w:val="left"/>
      <w:pPr>
        <w:tabs>
          <w:tab w:val="num" w:pos="792"/>
        </w:tabs>
        <w:ind w:left="792"/>
      </w:pPr>
      <w:rPr>
        <w:position w:val="0"/>
        <w:sz w:val="24"/>
        <w:szCs w:val="24"/>
      </w:rPr>
    </w:lvl>
    <w:lvl w:ilvl="1">
      <w:numFmt w:val="bullet"/>
      <w:lvlText w:val="o"/>
      <w:lvlJc w:val="left"/>
      <w:pPr>
        <w:tabs>
          <w:tab w:val="num" w:pos="1598"/>
        </w:tabs>
        <w:ind w:left="1598" w:hanging="518"/>
      </w:pPr>
      <w:rPr>
        <w:position w:val="0"/>
        <w:sz w:val="20"/>
        <w:szCs w:val="20"/>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6" w15:restartNumberingAfterBreak="0">
    <w:nsid w:val="25A56A55"/>
    <w:multiLevelType w:val="hybridMultilevel"/>
    <w:tmpl w:val="15164F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7227CFF"/>
    <w:multiLevelType w:val="multilevel"/>
    <w:tmpl w:val="10026338"/>
    <w:lvl w:ilvl="0">
      <w:start w:val="1"/>
      <w:numFmt w:val="bullet"/>
      <w:lvlText w:val="•"/>
      <w:lvlJc w:val="left"/>
      <w:pPr>
        <w:tabs>
          <w:tab w:val="num" w:pos="792"/>
        </w:tabs>
        <w:ind w:left="792"/>
      </w:pPr>
      <w:rPr>
        <w:position w:val="0"/>
        <w:sz w:val="24"/>
        <w:szCs w:val="24"/>
      </w:rPr>
    </w:lvl>
    <w:lvl w:ilvl="1">
      <w:numFmt w:val="bullet"/>
      <w:lvlText w:val="o"/>
      <w:lvlJc w:val="left"/>
      <w:pPr>
        <w:tabs>
          <w:tab w:val="num" w:pos="1598"/>
        </w:tabs>
        <w:ind w:left="1598" w:hanging="518"/>
      </w:pPr>
      <w:rPr>
        <w:position w:val="0"/>
        <w:sz w:val="20"/>
        <w:szCs w:val="20"/>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8" w15:restartNumberingAfterBreak="0">
    <w:nsid w:val="28BD0392"/>
    <w:multiLevelType w:val="multilevel"/>
    <w:tmpl w:val="53205A3C"/>
    <w:lvl w:ilvl="0">
      <w:numFmt w:val="bullet"/>
      <w:lvlText w:val="•"/>
      <w:lvlJc w:val="left"/>
      <w:pPr>
        <w:tabs>
          <w:tab w:val="num" w:pos="878"/>
        </w:tabs>
        <w:ind w:left="878" w:hanging="518"/>
      </w:pPr>
      <w:rPr>
        <w:position w:val="0"/>
        <w:sz w:val="20"/>
        <w:szCs w:val="20"/>
      </w:rPr>
    </w:lvl>
    <w:lvl w:ilvl="1">
      <w:start w:val="1"/>
      <w:numFmt w:val="bullet"/>
      <w:lvlText w:val="o"/>
      <w:lvlJc w:val="left"/>
      <w:pPr>
        <w:tabs>
          <w:tab w:val="num" w:pos="1512"/>
        </w:tabs>
        <w:ind w:left="1512"/>
      </w:pPr>
      <w:rPr>
        <w:position w:val="0"/>
        <w:sz w:val="24"/>
        <w:szCs w:val="24"/>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9" w15:restartNumberingAfterBreak="0">
    <w:nsid w:val="2CD2313D"/>
    <w:multiLevelType w:val="hybridMultilevel"/>
    <w:tmpl w:val="ABFC63A8"/>
    <w:lvl w:ilvl="0" w:tplc="080A0019">
      <w:start w:val="1"/>
      <w:numFmt w:val="lowerLetter"/>
      <w:lvlText w:val="%1."/>
      <w:lvlJc w:val="left"/>
      <w:pPr>
        <w:ind w:left="1068" w:hanging="360"/>
      </w:pPr>
      <w:rPr>
        <w:rFonts w:hint="default"/>
        <w:b w:val="0"/>
        <w:i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1ED7BC5"/>
    <w:multiLevelType w:val="multilevel"/>
    <w:tmpl w:val="0E423884"/>
    <w:styleLink w:val="Lista21"/>
    <w:lvl w:ilvl="0">
      <w:start w:val="1"/>
      <w:numFmt w:val="bullet"/>
      <w:lvlText w:val="•"/>
      <w:lvlJc w:val="left"/>
      <w:pPr>
        <w:tabs>
          <w:tab w:val="num" w:pos="792"/>
        </w:tabs>
        <w:ind w:left="792"/>
      </w:pPr>
      <w:rPr>
        <w:position w:val="0"/>
        <w:sz w:val="24"/>
        <w:szCs w:val="24"/>
      </w:rPr>
    </w:lvl>
    <w:lvl w:ilvl="1">
      <w:numFmt w:val="bullet"/>
      <w:lvlText w:val="o"/>
      <w:lvlJc w:val="left"/>
      <w:pPr>
        <w:tabs>
          <w:tab w:val="num" w:pos="1598"/>
        </w:tabs>
        <w:ind w:left="1598" w:hanging="518"/>
      </w:pPr>
      <w:rPr>
        <w:position w:val="0"/>
        <w:sz w:val="20"/>
        <w:szCs w:val="20"/>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11" w15:restartNumberingAfterBreak="0">
    <w:nsid w:val="396774BD"/>
    <w:multiLevelType w:val="hybridMultilevel"/>
    <w:tmpl w:val="654C8D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13004F"/>
    <w:multiLevelType w:val="hybridMultilevel"/>
    <w:tmpl w:val="FC607998"/>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E0C13D7"/>
    <w:multiLevelType w:val="hybridMultilevel"/>
    <w:tmpl w:val="9B2678FE"/>
    <w:lvl w:ilvl="0" w:tplc="86FCD9D0">
      <w:start w:val="1"/>
      <w:numFmt w:val="bullet"/>
      <w:lvlText w:val="-"/>
      <w:lvlJc w:val="left"/>
      <w:pPr>
        <w:ind w:left="720" w:hanging="360"/>
      </w:pPr>
      <w:rPr>
        <w:rFonts w:ascii="Book Antiqua" w:eastAsia="Calibri" w:hAnsi="Book Antiqu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A82A72"/>
    <w:multiLevelType w:val="hybridMultilevel"/>
    <w:tmpl w:val="504E3A84"/>
    <w:lvl w:ilvl="0" w:tplc="F16EA8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0444A3"/>
    <w:multiLevelType w:val="multilevel"/>
    <w:tmpl w:val="A4F6FD18"/>
    <w:lvl w:ilvl="0">
      <w:numFmt w:val="bullet"/>
      <w:lvlText w:val="•"/>
      <w:lvlJc w:val="left"/>
      <w:pPr>
        <w:tabs>
          <w:tab w:val="num" w:pos="878"/>
        </w:tabs>
        <w:ind w:left="878" w:hanging="518"/>
      </w:pPr>
      <w:rPr>
        <w:position w:val="0"/>
        <w:sz w:val="20"/>
        <w:szCs w:val="20"/>
      </w:rPr>
    </w:lvl>
    <w:lvl w:ilvl="1">
      <w:start w:val="1"/>
      <w:numFmt w:val="bullet"/>
      <w:lvlText w:val="o"/>
      <w:lvlJc w:val="left"/>
      <w:pPr>
        <w:tabs>
          <w:tab w:val="num" w:pos="1512"/>
        </w:tabs>
        <w:ind w:left="1512"/>
      </w:pPr>
      <w:rPr>
        <w:position w:val="0"/>
        <w:sz w:val="24"/>
        <w:szCs w:val="24"/>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16" w15:restartNumberingAfterBreak="0">
    <w:nsid w:val="4BD604B5"/>
    <w:multiLevelType w:val="multilevel"/>
    <w:tmpl w:val="828468BA"/>
    <w:lvl w:ilvl="0">
      <w:start w:val="1"/>
      <w:numFmt w:val="bullet"/>
      <w:lvlText w:val="•"/>
      <w:lvlJc w:val="left"/>
      <w:pPr>
        <w:tabs>
          <w:tab w:val="num" w:pos="792"/>
        </w:tabs>
        <w:ind w:left="792"/>
      </w:pPr>
      <w:rPr>
        <w:position w:val="0"/>
        <w:sz w:val="24"/>
        <w:szCs w:val="24"/>
      </w:rPr>
    </w:lvl>
    <w:lvl w:ilvl="1">
      <w:numFmt w:val="bullet"/>
      <w:lvlText w:val="o"/>
      <w:lvlJc w:val="left"/>
      <w:pPr>
        <w:tabs>
          <w:tab w:val="num" w:pos="1598"/>
        </w:tabs>
        <w:ind w:left="1598" w:hanging="518"/>
      </w:pPr>
      <w:rPr>
        <w:position w:val="0"/>
        <w:sz w:val="20"/>
        <w:szCs w:val="20"/>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17" w15:restartNumberingAfterBreak="0">
    <w:nsid w:val="4FAA739F"/>
    <w:multiLevelType w:val="hybridMultilevel"/>
    <w:tmpl w:val="48A68FBA"/>
    <w:lvl w:ilvl="0" w:tplc="1654E9F0">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6906CC"/>
    <w:multiLevelType w:val="hybridMultilevel"/>
    <w:tmpl w:val="D8C0E062"/>
    <w:lvl w:ilvl="0" w:tplc="1C16CF22">
      <w:start w:val="1"/>
      <w:numFmt w:val="bullet"/>
      <w:lvlText w:val="-"/>
      <w:lvlJc w:val="left"/>
      <w:pPr>
        <w:ind w:left="720" w:hanging="360"/>
      </w:pPr>
      <w:rPr>
        <w:rFonts w:ascii="Book Antiqua" w:eastAsia="Calibri" w:hAnsi="Book Antiqu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215A1D"/>
    <w:multiLevelType w:val="multilevel"/>
    <w:tmpl w:val="9CFAAFE6"/>
    <w:lvl w:ilvl="0">
      <w:start w:val="1"/>
      <w:numFmt w:val="bullet"/>
      <w:lvlText w:val="•"/>
      <w:lvlJc w:val="left"/>
      <w:pPr>
        <w:tabs>
          <w:tab w:val="num" w:pos="792"/>
        </w:tabs>
        <w:ind w:left="792"/>
      </w:pPr>
      <w:rPr>
        <w:position w:val="0"/>
        <w:sz w:val="24"/>
        <w:szCs w:val="24"/>
      </w:rPr>
    </w:lvl>
    <w:lvl w:ilvl="1">
      <w:numFmt w:val="bullet"/>
      <w:lvlText w:val="o"/>
      <w:lvlJc w:val="left"/>
      <w:pPr>
        <w:tabs>
          <w:tab w:val="num" w:pos="1598"/>
        </w:tabs>
        <w:ind w:left="1598" w:hanging="518"/>
      </w:pPr>
      <w:rPr>
        <w:position w:val="0"/>
        <w:sz w:val="20"/>
        <w:szCs w:val="20"/>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20" w15:restartNumberingAfterBreak="0">
    <w:nsid w:val="6DC561BD"/>
    <w:multiLevelType w:val="multilevel"/>
    <w:tmpl w:val="C428DF7E"/>
    <w:lvl w:ilvl="0">
      <w:numFmt w:val="bullet"/>
      <w:lvlText w:val="•"/>
      <w:lvlJc w:val="left"/>
      <w:pPr>
        <w:tabs>
          <w:tab w:val="num" w:pos="878"/>
        </w:tabs>
        <w:ind w:left="878" w:hanging="518"/>
      </w:pPr>
      <w:rPr>
        <w:position w:val="0"/>
        <w:sz w:val="20"/>
        <w:szCs w:val="20"/>
      </w:rPr>
    </w:lvl>
    <w:lvl w:ilvl="1">
      <w:start w:val="1"/>
      <w:numFmt w:val="bullet"/>
      <w:lvlText w:val="o"/>
      <w:lvlJc w:val="left"/>
      <w:pPr>
        <w:tabs>
          <w:tab w:val="num" w:pos="1512"/>
        </w:tabs>
        <w:ind w:left="1512"/>
      </w:pPr>
      <w:rPr>
        <w:position w:val="0"/>
        <w:sz w:val="24"/>
        <w:szCs w:val="24"/>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abstractNum w:abstractNumId="21" w15:restartNumberingAfterBreak="0">
    <w:nsid w:val="72811EBD"/>
    <w:multiLevelType w:val="multilevel"/>
    <w:tmpl w:val="CFA22E4E"/>
    <w:lvl w:ilvl="0">
      <w:numFmt w:val="bullet"/>
      <w:lvlText w:val="•"/>
      <w:lvlJc w:val="left"/>
      <w:pPr>
        <w:tabs>
          <w:tab w:val="num" w:pos="878"/>
        </w:tabs>
        <w:ind w:left="878" w:hanging="518"/>
      </w:pPr>
      <w:rPr>
        <w:position w:val="0"/>
        <w:sz w:val="20"/>
        <w:szCs w:val="20"/>
      </w:rPr>
    </w:lvl>
    <w:lvl w:ilvl="1">
      <w:start w:val="1"/>
      <w:numFmt w:val="bullet"/>
      <w:lvlText w:val="o"/>
      <w:lvlJc w:val="left"/>
      <w:pPr>
        <w:tabs>
          <w:tab w:val="num" w:pos="1512"/>
        </w:tabs>
        <w:ind w:left="1512"/>
      </w:pPr>
      <w:rPr>
        <w:position w:val="0"/>
        <w:sz w:val="24"/>
        <w:szCs w:val="24"/>
      </w:rPr>
    </w:lvl>
    <w:lvl w:ilvl="2">
      <w:start w:val="1"/>
      <w:numFmt w:val="bullet"/>
      <w:lvlText w:val="•"/>
      <w:lvlJc w:val="left"/>
      <w:pPr>
        <w:tabs>
          <w:tab w:val="num" w:pos="2232"/>
        </w:tabs>
        <w:ind w:left="2232"/>
      </w:pPr>
      <w:rPr>
        <w:position w:val="0"/>
        <w:sz w:val="24"/>
        <w:szCs w:val="24"/>
      </w:rPr>
    </w:lvl>
    <w:lvl w:ilvl="3">
      <w:start w:val="1"/>
      <w:numFmt w:val="bullet"/>
      <w:lvlText w:val="•"/>
      <w:lvlJc w:val="left"/>
      <w:pPr>
        <w:tabs>
          <w:tab w:val="num" w:pos="2952"/>
        </w:tabs>
        <w:ind w:left="2952"/>
      </w:pPr>
      <w:rPr>
        <w:position w:val="0"/>
        <w:sz w:val="24"/>
        <w:szCs w:val="24"/>
      </w:rPr>
    </w:lvl>
    <w:lvl w:ilvl="4">
      <w:start w:val="1"/>
      <w:numFmt w:val="bullet"/>
      <w:lvlText w:val="o"/>
      <w:lvlJc w:val="left"/>
      <w:pPr>
        <w:tabs>
          <w:tab w:val="num" w:pos="3672"/>
        </w:tabs>
        <w:ind w:left="3672"/>
      </w:pPr>
      <w:rPr>
        <w:position w:val="0"/>
        <w:sz w:val="24"/>
        <w:szCs w:val="24"/>
      </w:rPr>
    </w:lvl>
    <w:lvl w:ilvl="5">
      <w:start w:val="1"/>
      <w:numFmt w:val="bullet"/>
      <w:lvlText w:val="•"/>
      <w:lvlJc w:val="left"/>
      <w:pPr>
        <w:tabs>
          <w:tab w:val="num" w:pos="4392"/>
        </w:tabs>
        <w:ind w:left="4392"/>
      </w:pPr>
      <w:rPr>
        <w:position w:val="0"/>
        <w:sz w:val="24"/>
        <w:szCs w:val="24"/>
      </w:rPr>
    </w:lvl>
    <w:lvl w:ilvl="6">
      <w:start w:val="1"/>
      <w:numFmt w:val="bullet"/>
      <w:lvlText w:val="•"/>
      <w:lvlJc w:val="left"/>
      <w:pPr>
        <w:tabs>
          <w:tab w:val="num" w:pos="5112"/>
        </w:tabs>
        <w:ind w:left="5112"/>
      </w:pPr>
      <w:rPr>
        <w:position w:val="0"/>
        <w:sz w:val="24"/>
        <w:szCs w:val="24"/>
      </w:rPr>
    </w:lvl>
    <w:lvl w:ilvl="7">
      <w:start w:val="1"/>
      <w:numFmt w:val="bullet"/>
      <w:lvlText w:val="o"/>
      <w:lvlJc w:val="left"/>
      <w:pPr>
        <w:tabs>
          <w:tab w:val="num" w:pos="5832"/>
        </w:tabs>
        <w:ind w:left="5832"/>
      </w:pPr>
      <w:rPr>
        <w:position w:val="0"/>
        <w:sz w:val="24"/>
        <w:szCs w:val="24"/>
      </w:rPr>
    </w:lvl>
    <w:lvl w:ilvl="8">
      <w:start w:val="1"/>
      <w:numFmt w:val="bullet"/>
      <w:lvlText w:val="•"/>
      <w:lvlJc w:val="left"/>
      <w:pPr>
        <w:tabs>
          <w:tab w:val="num" w:pos="6552"/>
        </w:tabs>
        <w:ind w:left="6552"/>
      </w:pPr>
      <w:rPr>
        <w:position w:val="0"/>
        <w:sz w:val="24"/>
        <w:szCs w:val="24"/>
      </w:rPr>
    </w:lvl>
  </w:abstractNum>
  <w:num w:numId="1">
    <w:abstractNumId w:val="14"/>
  </w:num>
  <w:num w:numId="2">
    <w:abstractNumId w:val="6"/>
  </w:num>
  <w:num w:numId="3">
    <w:abstractNumId w:val="17"/>
  </w:num>
  <w:num w:numId="4">
    <w:abstractNumId w:val="11"/>
  </w:num>
  <w:num w:numId="5">
    <w:abstractNumId w:val="12"/>
  </w:num>
  <w:num w:numId="6">
    <w:abstractNumId w:val="18"/>
  </w:num>
  <w:num w:numId="7">
    <w:abstractNumId w:val="13"/>
  </w:num>
  <w:num w:numId="8">
    <w:abstractNumId w:val="0"/>
  </w:num>
  <w:num w:numId="9">
    <w:abstractNumId w:val="9"/>
  </w:num>
  <w:num w:numId="10">
    <w:abstractNumId w:val="8"/>
  </w:num>
  <w:num w:numId="11">
    <w:abstractNumId w:val="3"/>
  </w:num>
  <w:num w:numId="12">
    <w:abstractNumId w:val="21"/>
  </w:num>
  <w:num w:numId="13">
    <w:abstractNumId w:val="20"/>
  </w:num>
  <w:num w:numId="14">
    <w:abstractNumId w:val="15"/>
  </w:num>
  <w:num w:numId="15">
    <w:abstractNumId w:val="5"/>
  </w:num>
  <w:num w:numId="16">
    <w:abstractNumId w:val="7"/>
  </w:num>
  <w:num w:numId="17">
    <w:abstractNumId w:val="19"/>
  </w:num>
  <w:num w:numId="18">
    <w:abstractNumId w:val="16"/>
  </w:num>
  <w:num w:numId="19">
    <w:abstractNumId w:val="1"/>
  </w:num>
  <w:num w:numId="20">
    <w:abstractNumId w:val="10"/>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AC"/>
    <w:rsid w:val="00012DCE"/>
    <w:rsid w:val="0002496E"/>
    <w:rsid w:val="00035DD3"/>
    <w:rsid w:val="00037E12"/>
    <w:rsid w:val="00051902"/>
    <w:rsid w:val="00053F44"/>
    <w:rsid w:val="000B0E02"/>
    <w:rsid w:val="000B1568"/>
    <w:rsid w:val="000B2FC0"/>
    <w:rsid w:val="000C1412"/>
    <w:rsid w:val="000C7D71"/>
    <w:rsid w:val="000E669E"/>
    <w:rsid w:val="00110EAD"/>
    <w:rsid w:val="0016033D"/>
    <w:rsid w:val="00160B7F"/>
    <w:rsid w:val="00160B8E"/>
    <w:rsid w:val="001A64BC"/>
    <w:rsid w:val="001D3285"/>
    <w:rsid w:val="001E253E"/>
    <w:rsid w:val="001E41D6"/>
    <w:rsid w:val="00210121"/>
    <w:rsid w:val="0022656E"/>
    <w:rsid w:val="0023533C"/>
    <w:rsid w:val="00256F4E"/>
    <w:rsid w:val="002677FF"/>
    <w:rsid w:val="0028226A"/>
    <w:rsid w:val="002825E6"/>
    <w:rsid w:val="00287AE8"/>
    <w:rsid w:val="002A31B9"/>
    <w:rsid w:val="002B093C"/>
    <w:rsid w:val="002D56C9"/>
    <w:rsid w:val="002D5963"/>
    <w:rsid w:val="003023F4"/>
    <w:rsid w:val="00307CB8"/>
    <w:rsid w:val="003129DD"/>
    <w:rsid w:val="0031622B"/>
    <w:rsid w:val="0032773A"/>
    <w:rsid w:val="003439A0"/>
    <w:rsid w:val="0034486E"/>
    <w:rsid w:val="00344A72"/>
    <w:rsid w:val="0034727C"/>
    <w:rsid w:val="00375059"/>
    <w:rsid w:val="003A1743"/>
    <w:rsid w:val="003B1DFA"/>
    <w:rsid w:val="003B4AB7"/>
    <w:rsid w:val="003C44E8"/>
    <w:rsid w:val="003C6D20"/>
    <w:rsid w:val="003D17C8"/>
    <w:rsid w:val="003E3112"/>
    <w:rsid w:val="003F2F32"/>
    <w:rsid w:val="00401F14"/>
    <w:rsid w:val="00406AC1"/>
    <w:rsid w:val="00455371"/>
    <w:rsid w:val="00456B52"/>
    <w:rsid w:val="00467579"/>
    <w:rsid w:val="00473382"/>
    <w:rsid w:val="00492637"/>
    <w:rsid w:val="004B0E0A"/>
    <w:rsid w:val="004B7318"/>
    <w:rsid w:val="004D1B9E"/>
    <w:rsid w:val="004D6B2C"/>
    <w:rsid w:val="004E11B2"/>
    <w:rsid w:val="00504F4A"/>
    <w:rsid w:val="00506A05"/>
    <w:rsid w:val="00510F25"/>
    <w:rsid w:val="005200D1"/>
    <w:rsid w:val="00521475"/>
    <w:rsid w:val="00542BA1"/>
    <w:rsid w:val="005555D4"/>
    <w:rsid w:val="00556989"/>
    <w:rsid w:val="005621E7"/>
    <w:rsid w:val="00581774"/>
    <w:rsid w:val="00582CE9"/>
    <w:rsid w:val="005940C8"/>
    <w:rsid w:val="00597856"/>
    <w:rsid w:val="005B4D1D"/>
    <w:rsid w:val="005C7608"/>
    <w:rsid w:val="005E5D0B"/>
    <w:rsid w:val="006104A8"/>
    <w:rsid w:val="006110E0"/>
    <w:rsid w:val="00616800"/>
    <w:rsid w:val="00620A23"/>
    <w:rsid w:val="00626AC2"/>
    <w:rsid w:val="0064231D"/>
    <w:rsid w:val="00654697"/>
    <w:rsid w:val="006700E5"/>
    <w:rsid w:val="006978D8"/>
    <w:rsid w:val="006B5794"/>
    <w:rsid w:val="006C2E9D"/>
    <w:rsid w:val="006D14BA"/>
    <w:rsid w:val="006E03D5"/>
    <w:rsid w:val="006E1DEC"/>
    <w:rsid w:val="006F2BE4"/>
    <w:rsid w:val="00710B0C"/>
    <w:rsid w:val="007168FD"/>
    <w:rsid w:val="00727102"/>
    <w:rsid w:val="00740383"/>
    <w:rsid w:val="00752507"/>
    <w:rsid w:val="00767458"/>
    <w:rsid w:val="00770BE6"/>
    <w:rsid w:val="007839B5"/>
    <w:rsid w:val="007847DA"/>
    <w:rsid w:val="00786348"/>
    <w:rsid w:val="007A2A13"/>
    <w:rsid w:val="007A5F4B"/>
    <w:rsid w:val="007B530C"/>
    <w:rsid w:val="007B60DC"/>
    <w:rsid w:val="007D534F"/>
    <w:rsid w:val="007E0ECE"/>
    <w:rsid w:val="007F4F5D"/>
    <w:rsid w:val="00812B8C"/>
    <w:rsid w:val="0084287A"/>
    <w:rsid w:val="0084740D"/>
    <w:rsid w:val="00870601"/>
    <w:rsid w:val="00887F14"/>
    <w:rsid w:val="008957F9"/>
    <w:rsid w:val="00896C1A"/>
    <w:rsid w:val="008A41A5"/>
    <w:rsid w:val="008B0A6D"/>
    <w:rsid w:val="008B2573"/>
    <w:rsid w:val="008B261A"/>
    <w:rsid w:val="008B3FD3"/>
    <w:rsid w:val="008C0963"/>
    <w:rsid w:val="008E2FE9"/>
    <w:rsid w:val="008F17A2"/>
    <w:rsid w:val="008F266F"/>
    <w:rsid w:val="008F2A78"/>
    <w:rsid w:val="009017CC"/>
    <w:rsid w:val="009021E0"/>
    <w:rsid w:val="009055C3"/>
    <w:rsid w:val="009315C3"/>
    <w:rsid w:val="00933BC9"/>
    <w:rsid w:val="00967396"/>
    <w:rsid w:val="0098517F"/>
    <w:rsid w:val="00992EEB"/>
    <w:rsid w:val="009A1EF1"/>
    <w:rsid w:val="009A4820"/>
    <w:rsid w:val="009A686D"/>
    <w:rsid w:val="009C4F62"/>
    <w:rsid w:val="009C7E0C"/>
    <w:rsid w:val="009D1444"/>
    <w:rsid w:val="009E239D"/>
    <w:rsid w:val="009E3E10"/>
    <w:rsid w:val="009F34B5"/>
    <w:rsid w:val="00A11CA3"/>
    <w:rsid w:val="00A12600"/>
    <w:rsid w:val="00A149AA"/>
    <w:rsid w:val="00A340C1"/>
    <w:rsid w:val="00A34C42"/>
    <w:rsid w:val="00A77F6F"/>
    <w:rsid w:val="00AB0974"/>
    <w:rsid w:val="00AC4FF0"/>
    <w:rsid w:val="00AC7274"/>
    <w:rsid w:val="00AC7D2C"/>
    <w:rsid w:val="00AE36B1"/>
    <w:rsid w:val="00B10667"/>
    <w:rsid w:val="00B13B43"/>
    <w:rsid w:val="00B23756"/>
    <w:rsid w:val="00B36480"/>
    <w:rsid w:val="00B40E5A"/>
    <w:rsid w:val="00B649BD"/>
    <w:rsid w:val="00B86207"/>
    <w:rsid w:val="00B86E71"/>
    <w:rsid w:val="00B96F01"/>
    <w:rsid w:val="00BA0BF2"/>
    <w:rsid w:val="00BB523F"/>
    <w:rsid w:val="00BC1733"/>
    <w:rsid w:val="00BC3EA2"/>
    <w:rsid w:val="00BC568E"/>
    <w:rsid w:val="00BD49AC"/>
    <w:rsid w:val="00BD54EA"/>
    <w:rsid w:val="00BF06E8"/>
    <w:rsid w:val="00C14A35"/>
    <w:rsid w:val="00C41DCE"/>
    <w:rsid w:val="00C467AA"/>
    <w:rsid w:val="00C521B6"/>
    <w:rsid w:val="00C612EF"/>
    <w:rsid w:val="00C665D4"/>
    <w:rsid w:val="00CB72A9"/>
    <w:rsid w:val="00CD0799"/>
    <w:rsid w:val="00CD709B"/>
    <w:rsid w:val="00CE4380"/>
    <w:rsid w:val="00CF6B4C"/>
    <w:rsid w:val="00D51CC4"/>
    <w:rsid w:val="00D51F1C"/>
    <w:rsid w:val="00D6145C"/>
    <w:rsid w:val="00D867AA"/>
    <w:rsid w:val="00DC38D1"/>
    <w:rsid w:val="00DD52DA"/>
    <w:rsid w:val="00DD593C"/>
    <w:rsid w:val="00DE7734"/>
    <w:rsid w:val="00DE7E31"/>
    <w:rsid w:val="00E07D3F"/>
    <w:rsid w:val="00E13D4A"/>
    <w:rsid w:val="00E21DD0"/>
    <w:rsid w:val="00E26BDA"/>
    <w:rsid w:val="00E44A65"/>
    <w:rsid w:val="00E4586F"/>
    <w:rsid w:val="00E54346"/>
    <w:rsid w:val="00E70D48"/>
    <w:rsid w:val="00E8052F"/>
    <w:rsid w:val="00EB1E7B"/>
    <w:rsid w:val="00EB7194"/>
    <w:rsid w:val="00EE0D1C"/>
    <w:rsid w:val="00EF5A76"/>
    <w:rsid w:val="00F02EF8"/>
    <w:rsid w:val="00F039A1"/>
    <w:rsid w:val="00F16A46"/>
    <w:rsid w:val="00F233AE"/>
    <w:rsid w:val="00F3144A"/>
    <w:rsid w:val="00F35CF0"/>
    <w:rsid w:val="00F35FDC"/>
    <w:rsid w:val="00F570FA"/>
    <w:rsid w:val="00F656E3"/>
    <w:rsid w:val="00F858E5"/>
    <w:rsid w:val="00FB39A6"/>
    <w:rsid w:val="00FC0101"/>
    <w:rsid w:val="00FD7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1D83F"/>
  <w15:docId w15:val="{FA1FC062-FBD9-4190-8E75-3D393503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49AC"/>
    <w:pPr>
      <w:spacing w:after="200" w:line="276" w:lineRule="auto"/>
    </w:pPr>
    <w:rPr>
      <w:rFonts w:ascii="Times New Roman" w:hAnsi="Times New Roman" w:cs="Times New Roman"/>
      <w:color w:val="000000"/>
      <w:spacing w:val="1"/>
      <w:sz w:val="16"/>
      <w:szCs w:val="24"/>
    </w:rPr>
  </w:style>
  <w:style w:type="paragraph" w:styleId="Ttulo1">
    <w:name w:val="heading 1"/>
    <w:basedOn w:val="Normal"/>
    <w:next w:val="Normal"/>
    <w:link w:val="Ttulo1Car"/>
    <w:uiPriority w:val="9"/>
    <w:qFormat/>
    <w:rsid w:val="00307CB8"/>
    <w:pPr>
      <w:keepNext/>
      <w:keepLines/>
      <w:spacing w:before="480" w:after="0"/>
      <w:outlineLvl w:val="0"/>
    </w:pPr>
    <w:rPr>
      <w:rFonts w:asciiTheme="majorHAnsi" w:eastAsiaTheme="majorEastAsia" w:hAnsiTheme="majorHAnsi" w:cstheme="majorBidi"/>
      <w:b/>
      <w:bCs/>
      <w:color w:val="2E74B5" w:themeColor="accent1" w:themeShade="BF"/>
      <w:spacing w:val="0"/>
      <w:sz w:val="28"/>
      <w:szCs w:val="28"/>
    </w:rPr>
  </w:style>
  <w:style w:type="paragraph" w:styleId="Ttulo2">
    <w:name w:val="heading 2"/>
    <w:basedOn w:val="Normal"/>
    <w:next w:val="Normal"/>
    <w:link w:val="Ttulo2Car"/>
    <w:qFormat/>
    <w:rsid w:val="00307CB8"/>
    <w:pPr>
      <w:keepNext/>
      <w:spacing w:before="240" w:after="60" w:line="240" w:lineRule="auto"/>
      <w:outlineLvl w:val="1"/>
    </w:pPr>
    <w:rPr>
      <w:rFonts w:ascii="Garamond" w:eastAsia="Times New Roman" w:hAnsi="Garamond" w:cs="Arial"/>
      <w:b/>
      <w:bCs/>
      <w:iCs/>
      <w:color w:val="auto"/>
      <w:spacing w:val="0"/>
      <w:sz w:val="40"/>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7CB8"/>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rsid w:val="00307CB8"/>
    <w:rPr>
      <w:rFonts w:ascii="Garamond" w:eastAsia="Times New Roman" w:hAnsi="Garamond" w:cs="Arial"/>
      <w:b/>
      <w:bCs/>
      <w:iCs/>
      <w:sz w:val="40"/>
      <w:szCs w:val="28"/>
      <w:lang w:val="es-ES" w:eastAsia="es-ES"/>
    </w:rPr>
  </w:style>
  <w:style w:type="paragraph" w:styleId="Textonotapie">
    <w:name w:val="footnote text"/>
    <w:basedOn w:val="Normal"/>
    <w:link w:val="TextonotapieCar"/>
    <w:unhideWhenUsed/>
    <w:rsid w:val="00BD49AC"/>
    <w:pPr>
      <w:spacing w:after="0" w:line="240" w:lineRule="auto"/>
    </w:pPr>
    <w:rPr>
      <w:sz w:val="20"/>
      <w:szCs w:val="20"/>
    </w:rPr>
  </w:style>
  <w:style w:type="character" w:customStyle="1" w:styleId="TextonotapieCar">
    <w:name w:val="Texto nota pie Car"/>
    <w:basedOn w:val="Fuentedeprrafopredeter"/>
    <w:link w:val="Textonotapie"/>
    <w:rsid w:val="00BD49AC"/>
    <w:rPr>
      <w:rFonts w:ascii="Times New Roman" w:hAnsi="Times New Roman" w:cs="Times New Roman"/>
      <w:color w:val="000000"/>
      <w:spacing w:val="1"/>
      <w:sz w:val="20"/>
      <w:szCs w:val="20"/>
    </w:rPr>
  </w:style>
  <w:style w:type="character" w:styleId="Refdenotaalpie">
    <w:name w:val="footnote reference"/>
    <w:basedOn w:val="Fuentedeprrafopredeter"/>
    <w:unhideWhenUsed/>
    <w:rsid w:val="00BD49AC"/>
    <w:rPr>
      <w:vertAlign w:val="superscript"/>
    </w:rPr>
  </w:style>
  <w:style w:type="paragraph" w:styleId="Prrafodelista">
    <w:name w:val="List Paragraph"/>
    <w:basedOn w:val="Normal"/>
    <w:uiPriority w:val="34"/>
    <w:qFormat/>
    <w:rsid w:val="00BD49AC"/>
    <w:pPr>
      <w:ind w:left="720"/>
      <w:contextualSpacing/>
    </w:pPr>
  </w:style>
  <w:style w:type="character" w:customStyle="1" w:styleId="apple-converted-space">
    <w:name w:val="apple-converted-space"/>
    <w:basedOn w:val="Fuentedeprrafopredeter"/>
    <w:rsid w:val="00BD49AC"/>
  </w:style>
  <w:style w:type="character" w:customStyle="1" w:styleId="apple-style-span">
    <w:name w:val="apple-style-span"/>
    <w:basedOn w:val="Fuentedeprrafopredeter"/>
    <w:rsid w:val="00BD49AC"/>
  </w:style>
  <w:style w:type="character" w:customStyle="1" w:styleId="hps">
    <w:name w:val="hps"/>
    <w:basedOn w:val="Fuentedeprrafopredeter"/>
    <w:rsid w:val="00BD49AC"/>
  </w:style>
  <w:style w:type="paragraph" w:styleId="Sinespaciado">
    <w:name w:val="No Spacing"/>
    <w:uiPriority w:val="1"/>
    <w:qFormat/>
    <w:rsid w:val="00BD49AC"/>
    <w:pPr>
      <w:spacing w:after="0" w:line="240" w:lineRule="auto"/>
    </w:pPr>
    <w:rPr>
      <w:rFonts w:ascii="Times New Roman" w:hAnsi="Times New Roman" w:cs="Times New Roman"/>
      <w:color w:val="000000"/>
      <w:spacing w:val="1"/>
      <w:sz w:val="16"/>
      <w:szCs w:val="24"/>
    </w:rPr>
  </w:style>
  <w:style w:type="character" w:customStyle="1" w:styleId="etiquetas1">
    <w:name w:val="etiquetas1"/>
    <w:basedOn w:val="Fuentedeprrafopredeter"/>
    <w:rsid w:val="00BD49AC"/>
    <w:rPr>
      <w:rFonts w:ascii="Arial" w:hAnsi="Arial" w:cs="Arial" w:hint="default"/>
      <w:color w:val="000000"/>
      <w:sz w:val="12"/>
      <w:szCs w:val="12"/>
    </w:rPr>
  </w:style>
  <w:style w:type="character" w:customStyle="1" w:styleId="TextonotaalfinalCar">
    <w:name w:val="Texto nota al final Car"/>
    <w:basedOn w:val="Fuentedeprrafopredeter"/>
    <w:link w:val="Textonotaalfinal"/>
    <w:uiPriority w:val="99"/>
    <w:semiHidden/>
    <w:rsid w:val="00307CB8"/>
    <w:rPr>
      <w:sz w:val="20"/>
      <w:szCs w:val="20"/>
    </w:rPr>
  </w:style>
  <w:style w:type="paragraph" w:styleId="Textonotaalfinal">
    <w:name w:val="endnote text"/>
    <w:basedOn w:val="Normal"/>
    <w:link w:val="TextonotaalfinalCar"/>
    <w:uiPriority w:val="99"/>
    <w:semiHidden/>
    <w:unhideWhenUsed/>
    <w:rsid w:val="00307CB8"/>
    <w:pPr>
      <w:spacing w:after="0" w:line="240" w:lineRule="auto"/>
    </w:pPr>
    <w:rPr>
      <w:rFonts w:asciiTheme="minorHAnsi" w:hAnsiTheme="minorHAnsi" w:cstheme="minorBidi"/>
      <w:color w:val="auto"/>
      <w:spacing w:val="0"/>
      <w:sz w:val="20"/>
      <w:szCs w:val="20"/>
    </w:rPr>
  </w:style>
  <w:style w:type="character" w:styleId="Refdenotaalfinal">
    <w:name w:val="endnote reference"/>
    <w:basedOn w:val="Fuentedeprrafopredeter"/>
    <w:uiPriority w:val="99"/>
    <w:semiHidden/>
    <w:unhideWhenUsed/>
    <w:rsid w:val="00307CB8"/>
    <w:rPr>
      <w:vertAlign w:val="superscript"/>
    </w:rPr>
  </w:style>
  <w:style w:type="character" w:styleId="Hipervnculo">
    <w:name w:val="Hyperlink"/>
    <w:basedOn w:val="Fuentedeprrafopredeter"/>
    <w:uiPriority w:val="99"/>
    <w:unhideWhenUsed/>
    <w:rsid w:val="00307CB8"/>
    <w:rPr>
      <w:color w:val="0563C1" w:themeColor="hyperlink"/>
      <w:u w:val="single"/>
    </w:rPr>
  </w:style>
  <w:style w:type="paragraph" w:styleId="Textodeglobo">
    <w:name w:val="Balloon Text"/>
    <w:basedOn w:val="Normal"/>
    <w:link w:val="TextodegloboCar"/>
    <w:uiPriority w:val="99"/>
    <w:semiHidden/>
    <w:unhideWhenUsed/>
    <w:rsid w:val="00307CB8"/>
    <w:pPr>
      <w:spacing w:after="0" w:line="240" w:lineRule="auto"/>
    </w:pPr>
    <w:rPr>
      <w:rFonts w:ascii="Tahoma" w:hAnsi="Tahoma" w:cs="Tahoma"/>
      <w:color w:val="auto"/>
      <w:spacing w:val="0"/>
      <w:szCs w:val="16"/>
    </w:rPr>
  </w:style>
  <w:style w:type="character" w:customStyle="1" w:styleId="TextodegloboCar">
    <w:name w:val="Texto de globo Car"/>
    <w:basedOn w:val="Fuentedeprrafopredeter"/>
    <w:link w:val="Textodeglobo"/>
    <w:uiPriority w:val="99"/>
    <w:semiHidden/>
    <w:rsid w:val="00307CB8"/>
    <w:rPr>
      <w:rFonts w:ascii="Tahoma" w:hAnsi="Tahoma" w:cs="Tahoma"/>
      <w:sz w:val="16"/>
      <w:szCs w:val="16"/>
    </w:rPr>
  </w:style>
  <w:style w:type="paragraph" w:styleId="Descripcin">
    <w:name w:val="caption"/>
    <w:basedOn w:val="Normal"/>
    <w:next w:val="Normal"/>
    <w:unhideWhenUsed/>
    <w:qFormat/>
    <w:rsid w:val="00307CB8"/>
    <w:pPr>
      <w:spacing w:line="240" w:lineRule="auto"/>
    </w:pPr>
    <w:rPr>
      <w:rFonts w:ascii="Arial" w:eastAsia="Times New Roman" w:hAnsi="Arial"/>
      <w:b/>
      <w:bCs/>
      <w:color w:val="5B9BD5" w:themeColor="accent1"/>
      <w:spacing w:val="0"/>
      <w:sz w:val="18"/>
      <w:szCs w:val="18"/>
      <w:lang w:val="es-ES" w:eastAsia="es-ES"/>
    </w:rPr>
  </w:style>
  <w:style w:type="paragraph" w:styleId="Encabezado">
    <w:name w:val="header"/>
    <w:basedOn w:val="Normal"/>
    <w:link w:val="EncabezadoCar"/>
    <w:uiPriority w:val="99"/>
    <w:unhideWhenUsed/>
    <w:rsid w:val="00307CB8"/>
    <w:pPr>
      <w:tabs>
        <w:tab w:val="center" w:pos="4419"/>
        <w:tab w:val="right" w:pos="8838"/>
      </w:tabs>
      <w:spacing w:after="0" w:line="240" w:lineRule="auto"/>
    </w:pPr>
    <w:rPr>
      <w:rFonts w:asciiTheme="minorHAnsi" w:hAnsiTheme="minorHAnsi" w:cstheme="minorBidi"/>
      <w:color w:val="auto"/>
      <w:spacing w:val="0"/>
      <w:sz w:val="22"/>
      <w:szCs w:val="22"/>
    </w:rPr>
  </w:style>
  <w:style w:type="character" w:customStyle="1" w:styleId="EncabezadoCar">
    <w:name w:val="Encabezado Car"/>
    <w:basedOn w:val="Fuentedeprrafopredeter"/>
    <w:link w:val="Encabezado"/>
    <w:uiPriority w:val="99"/>
    <w:rsid w:val="00307CB8"/>
  </w:style>
  <w:style w:type="paragraph" w:styleId="Piedepgina">
    <w:name w:val="footer"/>
    <w:basedOn w:val="Normal"/>
    <w:link w:val="PiedepginaCar"/>
    <w:uiPriority w:val="99"/>
    <w:unhideWhenUsed/>
    <w:rsid w:val="00307CB8"/>
    <w:pPr>
      <w:tabs>
        <w:tab w:val="center" w:pos="4419"/>
        <w:tab w:val="right" w:pos="8838"/>
      </w:tabs>
      <w:spacing w:after="0" w:line="240" w:lineRule="auto"/>
    </w:pPr>
    <w:rPr>
      <w:rFonts w:asciiTheme="minorHAnsi" w:hAnsiTheme="minorHAnsi" w:cstheme="minorBidi"/>
      <w:color w:val="auto"/>
      <w:spacing w:val="0"/>
      <w:sz w:val="22"/>
      <w:szCs w:val="22"/>
    </w:rPr>
  </w:style>
  <w:style w:type="character" w:customStyle="1" w:styleId="PiedepginaCar">
    <w:name w:val="Pie de página Car"/>
    <w:basedOn w:val="Fuentedeprrafopredeter"/>
    <w:link w:val="Piedepgina"/>
    <w:uiPriority w:val="99"/>
    <w:rsid w:val="00307CB8"/>
  </w:style>
  <w:style w:type="table" w:styleId="Tablaconcuadrcula">
    <w:name w:val="Table Grid"/>
    <w:basedOn w:val="Tablanormal"/>
    <w:uiPriority w:val="59"/>
    <w:rsid w:val="0030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307CB8"/>
    <w:rPr>
      <w:rFonts w:asciiTheme="minorHAnsi" w:hAnsiTheme="minorHAnsi" w:cstheme="minorBidi"/>
      <w:color w:val="auto"/>
      <w:spacing w:val="0"/>
      <w:sz w:val="22"/>
      <w:szCs w:val="22"/>
    </w:rPr>
  </w:style>
  <w:style w:type="character" w:styleId="Textoennegrita">
    <w:name w:val="Strong"/>
    <w:basedOn w:val="Fuentedeprrafopredeter"/>
    <w:uiPriority w:val="22"/>
    <w:qFormat/>
    <w:rsid w:val="00307CB8"/>
    <w:rPr>
      <w:b/>
      <w:bCs/>
    </w:rPr>
  </w:style>
  <w:style w:type="character" w:styleId="nfasis">
    <w:name w:val="Emphasis"/>
    <w:basedOn w:val="Fuentedeprrafopredeter"/>
    <w:uiPriority w:val="20"/>
    <w:qFormat/>
    <w:rsid w:val="00053F44"/>
    <w:rPr>
      <w:i/>
      <w:iCs/>
    </w:rPr>
  </w:style>
  <w:style w:type="numbering" w:customStyle="1" w:styleId="Lista21">
    <w:name w:val="Lista 21"/>
    <w:basedOn w:val="Sinlista"/>
    <w:rsid w:val="00287AE8"/>
    <w:pPr>
      <w:numPr>
        <w:numId w:val="20"/>
      </w:numPr>
    </w:pPr>
  </w:style>
  <w:style w:type="paragraph" w:styleId="HTMLconformatoprevio">
    <w:name w:val="HTML Preformatted"/>
    <w:basedOn w:val="Normal"/>
    <w:link w:val="HTMLconformatoprevioCar"/>
    <w:uiPriority w:val="99"/>
    <w:unhideWhenUsed/>
    <w:rsid w:val="001E2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pacing w:val="0"/>
      <w:sz w:val="20"/>
      <w:szCs w:val="20"/>
      <w:lang w:eastAsia="es-MX"/>
    </w:rPr>
  </w:style>
  <w:style w:type="character" w:customStyle="1" w:styleId="HTMLconformatoprevioCar">
    <w:name w:val="HTML con formato previo Car"/>
    <w:basedOn w:val="Fuentedeprrafopredeter"/>
    <w:link w:val="HTMLconformatoprevio"/>
    <w:uiPriority w:val="99"/>
    <w:rsid w:val="001E253E"/>
    <w:rPr>
      <w:rFonts w:ascii="Courier New" w:eastAsia="Times New Roman" w:hAnsi="Courier New" w:cs="Courier New"/>
      <w:sz w:val="20"/>
      <w:szCs w:val="20"/>
      <w:lang w:eastAsia="es-MX"/>
    </w:rPr>
  </w:style>
  <w:style w:type="paragraph" w:styleId="NormalWeb">
    <w:name w:val="Normal (Web)"/>
    <w:basedOn w:val="Normal"/>
    <w:unhideWhenUsed/>
    <w:rsid w:val="008F17A2"/>
    <w:pPr>
      <w:spacing w:before="100" w:beforeAutospacing="1" w:after="100" w:afterAutospacing="1" w:line="240" w:lineRule="auto"/>
    </w:pPr>
    <w:rPr>
      <w:rFonts w:ascii="Times" w:eastAsiaTheme="minorEastAsia" w:hAnsi="Times"/>
      <w:color w:val="auto"/>
      <w:spacing w:val="0"/>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4323">
      <w:bodyDiv w:val="1"/>
      <w:marLeft w:val="0"/>
      <w:marRight w:val="0"/>
      <w:marTop w:val="0"/>
      <w:marBottom w:val="0"/>
      <w:divBdr>
        <w:top w:val="none" w:sz="0" w:space="0" w:color="auto"/>
        <w:left w:val="none" w:sz="0" w:space="0" w:color="auto"/>
        <w:bottom w:val="none" w:sz="0" w:space="0" w:color="auto"/>
        <w:right w:val="none" w:sz="0" w:space="0" w:color="auto"/>
      </w:divBdr>
    </w:div>
    <w:div w:id="325211350">
      <w:bodyDiv w:val="1"/>
      <w:marLeft w:val="0"/>
      <w:marRight w:val="0"/>
      <w:marTop w:val="0"/>
      <w:marBottom w:val="0"/>
      <w:divBdr>
        <w:top w:val="none" w:sz="0" w:space="0" w:color="auto"/>
        <w:left w:val="none" w:sz="0" w:space="0" w:color="auto"/>
        <w:bottom w:val="none" w:sz="0" w:space="0" w:color="auto"/>
        <w:right w:val="none" w:sz="0" w:space="0" w:color="auto"/>
      </w:divBdr>
    </w:div>
    <w:div w:id="478619586">
      <w:bodyDiv w:val="1"/>
      <w:marLeft w:val="0"/>
      <w:marRight w:val="0"/>
      <w:marTop w:val="0"/>
      <w:marBottom w:val="0"/>
      <w:divBdr>
        <w:top w:val="none" w:sz="0" w:space="0" w:color="auto"/>
        <w:left w:val="none" w:sz="0" w:space="0" w:color="auto"/>
        <w:bottom w:val="none" w:sz="0" w:space="0" w:color="auto"/>
        <w:right w:val="none" w:sz="0" w:space="0" w:color="auto"/>
      </w:divBdr>
    </w:div>
    <w:div w:id="682363804">
      <w:bodyDiv w:val="1"/>
      <w:marLeft w:val="0"/>
      <w:marRight w:val="0"/>
      <w:marTop w:val="0"/>
      <w:marBottom w:val="0"/>
      <w:divBdr>
        <w:top w:val="none" w:sz="0" w:space="0" w:color="auto"/>
        <w:left w:val="none" w:sz="0" w:space="0" w:color="auto"/>
        <w:bottom w:val="none" w:sz="0" w:space="0" w:color="auto"/>
        <w:right w:val="none" w:sz="0" w:space="0" w:color="auto"/>
      </w:divBdr>
    </w:div>
    <w:div w:id="1469662227">
      <w:bodyDiv w:val="1"/>
      <w:marLeft w:val="0"/>
      <w:marRight w:val="0"/>
      <w:marTop w:val="0"/>
      <w:marBottom w:val="0"/>
      <w:divBdr>
        <w:top w:val="none" w:sz="0" w:space="0" w:color="auto"/>
        <w:left w:val="none" w:sz="0" w:space="0" w:color="auto"/>
        <w:bottom w:val="none" w:sz="0" w:space="0" w:color="auto"/>
        <w:right w:val="none" w:sz="0" w:space="0" w:color="auto"/>
      </w:divBdr>
    </w:div>
    <w:div w:id="21419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vista-eea.net/documentos/30305.pdf" TargetMode="External"/><Relationship Id="rId18" Type="http://schemas.openxmlformats.org/officeDocument/2006/relationships/hyperlink" Target="http://unctad.org/en/publicationslibrary/wir2013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nber.org/papers/w7969" TargetMode="External"/><Relationship Id="rId2" Type="http://schemas.openxmlformats.org/officeDocument/2006/relationships/numbering" Target="numbering.xml"/><Relationship Id="rId16" Type="http://schemas.openxmlformats.org/officeDocument/2006/relationships/hyperlink" Target="http://www.economia.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orks.bepress.com/alejandro_faya_rodriguez/4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vista-eea.net/volumen.php?Id=81&amp;vol=30&amp;ref=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Pug99</b:Tag>
    <b:SourceType>JournalArticle</b:SourceType>
    <b:Guid>{C0AB625E-68D6-497D-BE3E-3BB97A118AB9}</b:Guid>
    <b:LCID>uz-Cyrl-UZ</b:LCID>
    <b:Author>
      <b:Author>
        <b:NameList>
          <b:Person>
            <b:Last>Puga</b:Last>
            <b:First>Diego</b:First>
          </b:Person>
        </b:NameList>
      </b:Author>
    </b:Author>
    <b:Title>Unemployment clusters across Europe's regions and countries</b:Title>
    <b:Year>1999</b:Year>
    <b:JournalName>Working Papers, University of Toronto, Department of Economics</b:JournalName>
    <b:RefOrder>1</b:RefOrder>
  </b:Source>
  <b:Source>
    <b:Tag>Gab04</b:Tag>
    <b:SourceType>JournalArticle</b:SourceType>
    <b:Guid>{1BA866DB-3A32-4A9E-A5CB-05237BCF6D4D}</b:Guid>
    <b:Author>
      <b:Author>
        <b:NameList>
          <b:Person>
            <b:Last>Monteverde</b:Last>
            <b:First>Gabriela</b:First>
            <b:Middle>Grijalva</b:Middle>
          </b:Person>
        </b:NameList>
      </b:Author>
    </b:Author>
    <b:Title>Generación de empleos en la frontera norte de México ¿Quiénes han aprovechado el TLC?</b:Title>
    <b:JournalName>FRONTERA NORTE, VOL. 16, NÚM. 31.</b:JournalName>
    <b:Year>2004</b:Year>
    <b:Pages>33-68</b:Pages>
    <b:RefOrder>1</b:RefOrder>
  </b:Source>
</b:Sources>
</file>

<file path=customXml/itemProps1.xml><?xml version="1.0" encoding="utf-8"?>
<ds:datastoreItem xmlns:ds="http://schemas.openxmlformats.org/officeDocument/2006/customXml" ds:itemID="{0A5CD5ED-1050-4415-A9B7-E693779E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6883</Words>
  <Characters>37862</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FRANCISCO</cp:lastModifiedBy>
  <cp:revision>6</cp:revision>
  <dcterms:created xsi:type="dcterms:W3CDTF">2015-07-25T03:00:00Z</dcterms:created>
  <dcterms:modified xsi:type="dcterms:W3CDTF">2017-03-12T20:08:00Z</dcterms:modified>
</cp:coreProperties>
</file>