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1144" w14:textId="16AD41B1" w:rsidR="000E2659" w:rsidRPr="00F353F0" w:rsidRDefault="00F353F0" w:rsidP="000E2659">
      <w:pPr>
        <w:spacing w:before="240" w:after="240" w:line="360" w:lineRule="auto"/>
        <w:ind w:left="708" w:hanging="708"/>
        <w:jc w:val="right"/>
        <w:rPr>
          <w:b/>
          <w:bCs/>
          <w:i/>
          <w:szCs w:val="16"/>
        </w:rPr>
      </w:pPr>
      <w:r w:rsidRPr="00F353F0">
        <w:rPr>
          <w:b/>
          <w:bCs/>
          <w:i/>
          <w:szCs w:val="16"/>
        </w:rPr>
        <w:t>https://doi.org/10.23913/ricea.v12i24.207</w:t>
      </w:r>
    </w:p>
    <w:p w14:paraId="49437400" w14:textId="7AA4E693" w:rsidR="000E2659" w:rsidRDefault="000E2659" w:rsidP="000E2659">
      <w:pPr>
        <w:spacing w:before="240" w:after="240" w:line="360" w:lineRule="auto"/>
        <w:ind w:left="708" w:hanging="708"/>
        <w:jc w:val="right"/>
        <w:rPr>
          <w:b/>
          <w:bCs/>
          <w:sz w:val="28"/>
          <w:szCs w:val="28"/>
        </w:rPr>
      </w:pPr>
      <w:r w:rsidRPr="00345415">
        <w:rPr>
          <w:b/>
          <w:bCs/>
          <w:i/>
          <w:szCs w:val="16"/>
        </w:rPr>
        <w:t>Artículos Científicos</w:t>
      </w:r>
    </w:p>
    <w:p w14:paraId="3B934C5F" w14:textId="6023676C" w:rsidR="0072097E" w:rsidRPr="000E2659" w:rsidRDefault="00000000" w:rsidP="000E2659">
      <w:pPr>
        <w:spacing w:line="276" w:lineRule="auto"/>
        <w:ind w:left="708" w:hanging="708"/>
        <w:jc w:val="right"/>
        <w:rPr>
          <w:rFonts w:ascii="Calibri" w:hAnsi="Calibri" w:cs="Calibri"/>
          <w:b/>
          <w:sz w:val="32"/>
          <w:szCs w:val="32"/>
        </w:rPr>
      </w:pPr>
      <w:r w:rsidRPr="000E2659">
        <w:rPr>
          <w:rFonts w:ascii="Calibri" w:hAnsi="Calibri" w:cs="Calibri"/>
          <w:b/>
          <w:sz w:val="32"/>
          <w:szCs w:val="32"/>
        </w:rPr>
        <w:t>Regulación sin transparencia. Un estudio de costos de la distribución de gas natural para la Ciudad de México</w:t>
      </w:r>
    </w:p>
    <w:p w14:paraId="1CE5BD38" w14:textId="37A2A818" w:rsidR="0072097E" w:rsidRPr="008B4AAC" w:rsidRDefault="000E2659" w:rsidP="000E2659">
      <w:pPr>
        <w:spacing w:line="276" w:lineRule="auto"/>
        <w:jc w:val="right"/>
        <w:rPr>
          <w:rFonts w:ascii="Calibri" w:hAnsi="Calibri" w:cs="Calibri"/>
          <w:b/>
          <w:i/>
          <w:iCs/>
          <w:sz w:val="28"/>
          <w:szCs w:val="28"/>
          <w:lang w:val="en-US"/>
        </w:rPr>
      </w:pPr>
      <w:r w:rsidRPr="00B71F87">
        <w:rPr>
          <w:rFonts w:ascii="Calibri" w:hAnsi="Calibri" w:cs="Calibri"/>
          <w:b/>
          <w:sz w:val="32"/>
          <w:szCs w:val="32"/>
          <w:lang w:val="en-US"/>
        </w:rPr>
        <w:br/>
      </w:r>
      <w:r w:rsidRPr="008B4AAC">
        <w:rPr>
          <w:rFonts w:ascii="Calibri" w:hAnsi="Calibri" w:cs="Calibri"/>
          <w:b/>
          <w:i/>
          <w:iCs/>
          <w:sz w:val="28"/>
          <w:szCs w:val="28"/>
          <w:lang w:val="en-US"/>
        </w:rPr>
        <w:t>Regulation without transparency. A cost study of natural gas distribution for Mexico City</w:t>
      </w:r>
    </w:p>
    <w:p w14:paraId="47D011CE" w14:textId="76178498" w:rsidR="000E2659" w:rsidRPr="000E2659" w:rsidRDefault="000E2659" w:rsidP="000E2659">
      <w:pPr>
        <w:spacing w:line="276" w:lineRule="auto"/>
        <w:jc w:val="right"/>
        <w:rPr>
          <w:rFonts w:ascii="Calibri" w:hAnsi="Calibri" w:cs="Calibri"/>
          <w:b/>
          <w:i/>
          <w:iCs/>
          <w:sz w:val="28"/>
          <w:szCs w:val="28"/>
        </w:rPr>
      </w:pPr>
      <w:r w:rsidRPr="00B71F87">
        <w:rPr>
          <w:rFonts w:ascii="Calibri" w:hAnsi="Calibri" w:cs="Calibri"/>
          <w:b/>
          <w:i/>
          <w:iCs/>
          <w:sz w:val="28"/>
          <w:szCs w:val="28"/>
        </w:rPr>
        <w:br/>
      </w:r>
      <w:proofErr w:type="spellStart"/>
      <w:r w:rsidRPr="000E2659">
        <w:rPr>
          <w:rFonts w:ascii="Calibri" w:hAnsi="Calibri" w:cs="Calibri"/>
          <w:b/>
          <w:i/>
          <w:iCs/>
          <w:sz w:val="28"/>
          <w:szCs w:val="28"/>
        </w:rPr>
        <w:t>Regulação</w:t>
      </w:r>
      <w:proofErr w:type="spellEnd"/>
      <w:r w:rsidRPr="000E2659">
        <w:rPr>
          <w:rFonts w:ascii="Calibri" w:hAnsi="Calibri" w:cs="Calibri"/>
          <w:b/>
          <w:i/>
          <w:iCs/>
          <w:sz w:val="28"/>
          <w:szCs w:val="28"/>
        </w:rPr>
        <w:t xml:space="preserve"> </w:t>
      </w:r>
      <w:proofErr w:type="spellStart"/>
      <w:r w:rsidRPr="000E2659">
        <w:rPr>
          <w:rFonts w:ascii="Calibri" w:hAnsi="Calibri" w:cs="Calibri"/>
          <w:b/>
          <w:i/>
          <w:iCs/>
          <w:sz w:val="28"/>
          <w:szCs w:val="28"/>
        </w:rPr>
        <w:t>sem</w:t>
      </w:r>
      <w:proofErr w:type="spellEnd"/>
      <w:r w:rsidRPr="000E2659">
        <w:rPr>
          <w:rFonts w:ascii="Calibri" w:hAnsi="Calibri" w:cs="Calibri"/>
          <w:b/>
          <w:i/>
          <w:iCs/>
          <w:sz w:val="28"/>
          <w:szCs w:val="28"/>
        </w:rPr>
        <w:t xml:space="preserve"> </w:t>
      </w:r>
      <w:proofErr w:type="spellStart"/>
      <w:r w:rsidRPr="000E2659">
        <w:rPr>
          <w:rFonts w:ascii="Calibri" w:hAnsi="Calibri" w:cs="Calibri"/>
          <w:b/>
          <w:i/>
          <w:iCs/>
          <w:sz w:val="28"/>
          <w:szCs w:val="28"/>
        </w:rPr>
        <w:t>transparência</w:t>
      </w:r>
      <w:proofErr w:type="spellEnd"/>
      <w:r w:rsidRPr="000E2659">
        <w:rPr>
          <w:rFonts w:ascii="Calibri" w:hAnsi="Calibri" w:cs="Calibri"/>
          <w:b/>
          <w:i/>
          <w:iCs/>
          <w:sz w:val="28"/>
          <w:szCs w:val="28"/>
        </w:rPr>
        <w:t xml:space="preserve">. </w:t>
      </w:r>
      <w:proofErr w:type="spellStart"/>
      <w:r w:rsidRPr="000E2659">
        <w:rPr>
          <w:rFonts w:ascii="Calibri" w:hAnsi="Calibri" w:cs="Calibri"/>
          <w:b/>
          <w:i/>
          <w:iCs/>
          <w:sz w:val="28"/>
          <w:szCs w:val="28"/>
        </w:rPr>
        <w:t>Um</w:t>
      </w:r>
      <w:proofErr w:type="spellEnd"/>
      <w:r w:rsidRPr="000E2659">
        <w:rPr>
          <w:rFonts w:ascii="Calibri" w:hAnsi="Calibri" w:cs="Calibri"/>
          <w:b/>
          <w:i/>
          <w:iCs/>
          <w:sz w:val="28"/>
          <w:szCs w:val="28"/>
        </w:rPr>
        <w:t xml:space="preserve"> </w:t>
      </w:r>
      <w:proofErr w:type="spellStart"/>
      <w:r w:rsidRPr="000E2659">
        <w:rPr>
          <w:rFonts w:ascii="Calibri" w:hAnsi="Calibri" w:cs="Calibri"/>
          <w:b/>
          <w:i/>
          <w:iCs/>
          <w:sz w:val="28"/>
          <w:szCs w:val="28"/>
        </w:rPr>
        <w:t>estudo</w:t>
      </w:r>
      <w:proofErr w:type="spellEnd"/>
      <w:r w:rsidRPr="000E2659">
        <w:rPr>
          <w:rFonts w:ascii="Calibri" w:hAnsi="Calibri" w:cs="Calibri"/>
          <w:b/>
          <w:i/>
          <w:iCs/>
          <w:sz w:val="28"/>
          <w:szCs w:val="28"/>
        </w:rPr>
        <w:t xml:space="preserve"> de </w:t>
      </w:r>
      <w:proofErr w:type="spellStart"/>
      <w:r w:rsidRPr="000E2659">
        <w:rPr>
          <w:rFonts w:ascii="Calibri" w:hAnsi="Calibri" w:cs="Calibri"/>
          <w:b/>
          <w:i/>
          <w:iCs/>
          <w:sz w:val="28"/>
          <w:szCs w:val="28"/>
        </w:rPr>
        <w:t>custos</w:t>
      </w:r>
      <w:proofErr w:type="spellEnd"/>
      <w:r w:rsidRPr="000E2659">
        <w:rPr>
          <w:rFonts w:ascii="Calibri" w:hAnsi="Calibri" w:cs="Calibri"/>
          <w:b/>
          <w:i/>
          <w:iCs/>
          <w:sz w:val="28"/>
          <w:szCs w:val="28"/>
        </w:rPr>
        <w:t xml:space="preserve"> de </w:t>
      </w:r>
      <w:proofErr w:type="spellStart"/>
      <w:r w:rsidRPr="000E2659">
        <w:rPr>
          <w:rFonts w:ascii="Calibri" w:hAnsi="Calibri" w:cs="Calibri"/>
          <w:b/>
          <w:i/>
          <w:iCs/>
          <w:sz w:val="28"/>
          <w:szCs w:val="28"/>
        </w:rPr>
        <w:t>distribuição</w:t>
      </w:r>
      <w:proofErr w:type="spellEnd"/>
      <w:r w:rsidRPr="000E2659">
        <w:rPr>
          <w:rFonts w:ascii="Calibri" w:hAnsi="Calibri" w:cs="Calibri"/>
          <w:b/>
          <w:i/>
          <w:iCs/>
          <w:sz w:val="28"/>
          <w:szCs w:val="28"/>
        </w:rPr>
        <w:t xml:space="preserve"> de </w:t>
      </w:r>
      <w:proofErr w:type="spellStart"/>
      <w:r w:rsidRPr="000E2659">
        <w:rPr>
          <w:rFonts w:ascii="Calibri" w:hAnsi="Calibri" w:cs="Calibri"/>
          <w:b/>
          <w:i/>
          <w:iCs/>
          <w:sz w:val="28"/>
          <w:szCs w:val="28"/>
        </w:rPr>
        <w:t>gás</w:t>
      </w:r>
      <w:proofErr w:type="spellEnd"/>
      <w:r w:rsidRPr="000E2659">
        <w:rPr>
          <w:rFonts w:ascii="Calibri" w:hAnsi="Calibri" w:cs="Calibri"/>
          <w:b/>
          <w:i/>
          <w:iCs/>
          <w:sz w:val="28"/>
          <w:szCs w:val="28"/>
        </w:rPr>
        <w:t xml:space="preserve"> natural para a </w:t>
      </w:r>
      <w:proofErr w:type="spellStart"/>
      <w:r w:rsidRPr="000E2659">
        <w:rPr>
          <w:rFonts w:ascii="Calibri" w:hAnsi="Calibri" w:cs="Calibri"/>
          <w:b/>
          <w:i/>
          <w:iCs/>
          <w:sz w:val="28"/>
          <w:szCs w:val="28"/>
        </w:rPr>
        <w:t>Cidade</w:t>
      </w:r>
      <w:proofErr w:type="spellEnd"/>
      <w:r w:rsidRPr="000E2659">
        <w:rPr>
          <w:rFonts w:ascii="Calibri" w:hAnsi="Calibri" w:cs="Calibri"/>
          <w:b/>
          <w:i/>
          <w:iCs/>
          <w:sz w:val="28"/>
          <w:szCs w:val="28"/>
        </w:rPr>
        <w:t xml:space="preserve"> do México</w:t>
      </w:r>
    </w:p>
    <w:p w14:paraId="3498C59E" w14:textId="77777777" w:rsidR="0072097E" w:rsidRPr="000E2659" w:rsidRDefault="0072097E">
      <w:pPr>
        <w:spacing w:line="360" w:lineRule="auto"/>
        <w:jc w:val="both"/>
        <w:rPr>
          <w:sz w:val="28"/>
          <w:szCs w:val="28"/>
        </w:rPr>
      </w:pPr>
    </w:p>
    <w:p w14:paraId="63E201AF" w14:textId="77777777" w:rsidR="0072097E" w:rsidRPr="000E2659" w:rsidRDefault="00000000" w:rsidP="000E2659">
      <w:pPr>
        <w:spacing w:line="276" w:lineRule="auto"/>
        <w:jc w:val="right"/>
        <w:rPr>
          <w:rFonts w:asciiTheme="minorHAnsi" w:hAnsiTheme="minorHAnsi" w:cstheme="minorHAnsi"/>
          <w:b/>
          <w:bCs/>
        </w:rPr>
      </w:pPr>
      <w:r w:rsidRPr="000E2659">
        <w:rPr>
          <w:rFonts w:asciiTheme="minorHAnsi" w:hAnsiTheme="minorHAnsi" w:cstheme="minorHAnsi"/>
          <w:b/>
          <w:bCs/>
        </w:rPr>
        <w:t xml:space="preserve">Jordy Micheli </w:t>
      </w:r>
      <w:proofErr w:type="spellStart"/>
      <w:r w:rsidRPr="000E2659">
        <w:rPr>
          <w:rFonts w:asciiTheme="minorHAnsi" w:hAnsiTheme="minorHAnsi" w:cstheme="minorHAnsi"/>
          <w:b/>
          <w:bCs/>
        </w:rPr>
        <w:t>Thirion</w:t>
      </w:r>
      <w:proofErr w:type="spellEnd"/>
    </w:p>
    <w:p w14:paraId="706774C2" w14:textId="77777777" w:rsidR="0072097E" w:rsidRDefault="00000000" w:rsidP="000E2659">
      <w:pPr>
        <w:spacing w:line="276" w:lineRule="auto"/>
        <w:jc w:val="right"/>
      </w:pPr>
      <w:r>
        <w:t>Universidad Autónoma Metropolitana, México</w:t>
      </w:r>
    </w:p>
    <w:p w14:paraId="4BF71CAE" w14:textId="77777777" w:rsidR="0072097E" w:rsidRPr="000E2659" w:rsidRDefault="00000000" w:rsidP="000E2659">
      <w:pPr>
        <w:spacing w:line="276" w:lineRule="auto"/>
        <w:jc w:val="right"/>
        <w:rPr>
          <w:rFonts w:asciiTheme="minorHAnsi" w:hAnsiTheme="minorHAnsi" w:cstheme="minorHAnsi"/>
        </w:rPr>
      </w:pPr>
      <w:r w:rsidRPr="000E2659">
        <w:rPr>
          <w:rFonts w:asciiTheme="minorHAnsi" w:hAnsiTheme="minorHAnsi" w:cstheme="minorHAnsi"/>
          <w:color w:val="FF0000"/>
        </w:rPr>
        <w:t>jomicheli@azc.uam.mx</w:t>
      </w:r>
    </w:p>
    <w:p w14:paraId="62140FC2" w14:textId="740C0A7A" w:rsidR="0072097E" w:rsidRDefault="00000000" w:rsidP="000E2659">
      <w:pPr>
        <w:spacing w:line="276" w:lineRule="auto"/>
        <w:jc w:val="right"/>
      </w:pPr>
      <w:r w:rsidRPr="000E2659">
        <w:t>https://orcid.org/0000-0002-7654-0842</w:t>
      </w:r>
    </w:p>
    <w:p w14:paraId="36AD696F" w14:textId="4D44279B" w:rsidR="0072097E" w:rsidRPr="000E2659" w:rsidRDefault="000E2659" w:rsidP="000E2659">
      <w:pPr>
        <w:spacing w:line="276" w:lineRule="auto"/>
        <w:jc w:val="right"/>
        <w:rPr>
          <w:rFonts w:asciiTheme="minorHAnsi" w:hAnsiTheme="minorHAnsi" w:cstheme="minorHAnsi"/>
          <w:b/>
          <w:bCs/>
        </w:rPr>
      </w:pPr>
      <w:r>
        <w:rPr>
          <w:rFonts w:asciiTheme="minorHAnsi" w:hAnsiTheme="minorHAnsi" w:cstheme="minorHAnsi"/>
          <w:b/>
          <w:bCs/>
        </w:rPr>
        <w:br/>
      </w:r>
      <w:r w:rsidRPr="000E2659">
        <w:rPr>
          <w:rFonts w:asciiTheme="minorHAnsi" w:hAnsiTheme="minorHAnsi" w:cstheme="minorHAnsi"/>
          <w:b/>
          <w:bCs/>
        </w:rPr>
        <w:t>Liliana Ramírez Villeda</w:t>
      </w:r>
    </w:p>
    <w:p w14:paraId="35B286A4" w14:textId="77777777" w:rsidR="0072097E" w:rsidRDefault="00000000" w:rsidP="000E2659">
      <w:pPr>
        <w:spacing w:line="276" w:lineRule="auto"/>
        <w:jc w:val="right"/>
      </w:pPr>
      <w:r>
        <w:t>Centro de Investigación y Docencia Económicas, México</w:t>
      </w:r>
    </w:p>
    <w:p w14:paraId="1CE407B7" w14:textId="4D0A71B7" w:rsidR="0072097E" w:rsidRPr="000E2659" w:rsidRDefault="00000000" w:rsidP="000E2659">
      <w:pPr>
        <w:spacing w:line="276" w:lineRule="auto"/>
        <w:jc w:val="right"/>
        <w:rPr>
          <w:rFonts w:asciiTheme="minorHAnsi" w:hAnsiTheme="minorHAnsi" w:cstheme="minorHAnsi"/>
          <w:color w:val="FF0000"/>
        </w:rPr>
      </w:pPr>
      <w:r w:rsidRPr="000E2659">
        <w:rPr>
          <w:rFonts w:asciiTheme="minorHAnsi" w:hAnsiTheme="minorHAnsi" w:cstheme="minorHAnsi"/>
          <w:color w:val="FF0000"/>
        </w:rPr>
        <w:t>liliana.ramirez@cide.edu</w:t>
      </w:r>
    </w:p>
    <w:p w14:paraId="7308AB8E" w14:textId="0EFE7FB5" w:rsidR="0072097E" w:rsidRDefault="00000000" w:rsidP="000E2659">
      <w:pPr>
        <w:spacing w:line="276" w:lineRule="auto"/>
        <w:jc w:val="right"/>
      </w:pPr>
      <w:r w:rsidRPr="000E2659">
        <w:t>https://orcid.org/0000-0003-4770-4753</w:t>
      </w:r>
    </w:p>
    <w:p w14:paraId="55D7F783" w14:textId="77777777" w:rsidR="0072097E" w:rsidRDefault="0072097E">
      <w:pPr>
        <w:spacing w:line="360" w:lineRule="auto"/>
        <w:jc w:val="both"/>
        <w:rPr>
          <w:b/>
          <w:bCs/>
          <w:sz w:val="28"/>
          <w:szCs w:val="28"/>
        </w:rPr>
      </w:pPr>
    </w:p>
    <w:p w14:paraId="593F3BBF" w14:textId="77777777" w:rsidR="0072097E" w:rsidRPr="000E2659" w:rsidRDefault="00000000">
      <w:pPr>
        <w:spacing w:line="360" w:lineRule="auto"/>
        <w:jc w:val="both"/>
        <w:rPr>
          <w:rFonts w:asciiTheme="minorHAnsi" w:hAnsiTheme="minorHAnsi" w:cstheme="minorHAnsi"/>
          <w:b/>
          <w:bCs/>
          <w:sz w:val="28"/>
          <w:szCs w:val="28"/>
        </w:rPr>
      </w:pPr>
      <w:r w:rsidRPr="000E2659">
        <w:rPr>
          <w:rFonts w:asciiTheme="minorHAnsi" w:hAnsiTheme="minorHAnsi" w:cstheme="minorHAnsi"/>
          <w:b/>
          <w:bCs/>
          <w:sz w:val="28"/>
          <w:szCs w:val="28"/>
        </w:rPr>
        <w:t xml:space="preserve">Resumen </w:t>
      </w:r>
    </w:p>
    <w:p w14:paraId="69E40273" w14:textId="77777777" w:rsidR="0072097E" w:rsidRDefault="00000000">
      <w:pPr>
        <w:spacing w:line="360" w:lineRule="auto"/>
        <w:jc w:val="both"/>
        <w:rPr>
          <w:color w:val="222222"/>
          <w:shd w:val="clear" w:color="auto" w:fill="FFFFFF"/>
        </w:rPr>
      </w:pPr>
      <w:r>
        <w:rPr>
          <w:color w:val="222222"/>
          <w:shd w:val="clear" w:color="auto" w:fill="FFFFFF"/>
        </w:rPr>
        <w:t>Existe un número de permisos de distribución de gas natural a diversas ciudades de México en los cuales los criterios de fijación de tarifas por parte del órgano regulador (CRE) no son replicables debido a la información incompleta. Esta falta de transparencia incumple los principios regulatorios y puede configurar una situación de captura del regulador. Esta situación incita la apertura de un campo de análisis académico sobre la práctica de la regulación del gas natural en México, la cual ha sido ajena a la investigación tradicional sobre la política energética.</w:t>
      </w:r>
    </w:p>
    <w:p w14:paraId="65C37A25" w14:textId="15FF989E" w:rsidR="0072097E" w:rsidRPr="000E2659" w:rsidRDefault="00000000">
      <w:pPr>
        <w:spacing w:line="360" w:lineRule="auto"/>
        <w:jc w:val="both"/>
        <w:rPr>
          <w:color w:val="222222"/>
          <w:shd w:val="clear" w:color="auto" w:fill="FFFFFF"/>
        </w:rPr>
      </w:pPr>
      <w:r>
        <w:rPr>
          <w:color w:val="222222"/>
          <w:shd w:val="clear" w:color="auto" w:fill="FFFFFF"/>
        </w:rPr>
        <w:tab/>
        <w:t xml:space="preserve">Se estudia el caso de las tarifas de distribución de gas a la Ciudad de México del año 2015, bajo la pregunta de si la falta de información esconde subsidios cruzados y captura del regulador. La hipótesis es que mediante una metodología basada en contabilidad regulatoria es posible reconstruir la asignación de costos calculada por el regulador. Dicha hipótesis se </w:t>
      </w:r>
      <w:r>
        <w:rPr>
          <w:color w:val="222222"/>
          <w:shd w:val="clear" w:color="auto" w:fill="FFFFFF"/>
        </w:rPr>
        <w:lastRenderedPageBreak/>
        <w:t xml:space="preserve">comprueba y arroja la existencia de subsidios cruzados en contra de los usuarios domésticos, quienes pagan el 70% de los </w:t>
      </w:r>
      <w:proofErr w:type="gramStart"/>
      <w:r>
        <w:rPr>
          <w:color w:val="222222"/>
          <w:shd w:val="clear" w:color="auto" w:fill="FFFFFF"/>
        </w:rPr>
        <w:t>costos</w:t>
      </w:r>
      <w:proofErr w:type="gramEnd"/>
      <w:r>
        <w:rPr>
          <w:color w:val="222222"/>
          <w:shd w:val="clear" w:color="auto" w:fill="FFFFFF"/>
        </w:rPr>
        <w:t xml:space="preserve"> pero reciben solo el 15% de la energía. Las consecuencias de este hallazgo son: 1) que es posible generar una metodología robusta de contabilidad regulatoria para ser aplicada al conjunto de casos existentes y 2) que la intervención de la academia puede ayudar a exponer y mejorar la práctica regulatoria para evitar la captura del regulador, lo cual sería significativo en el contexto de cambios de paradigma de la política energética en México.</w:t>
      </w:r>
    </w:p>
    <w:p w14:paraId="1731BBC7" w14:textId="77777777" w:rsidR="0072097E" w:rsidRDefault="00000000">
      <w:pPr>
        <w:spacing w:line="360" w:lineRule="auto"/>
        <w:jc w:val="both"/>
        <w:rPr>
          <w:b/>
          <w:bCs/>
        </w:rPr>
      </w:pPr>
      <w:r w:rsidRPr="000E2659">
        <w:rPr>
          <w:rFonts w:asciiTheme="minorHAnsi" w:hAnsiTheme="minorHAnsi" w:cstheme="minorHAnsi"/>
          <w:b/>
          <w:bCs/>
          <w:sz w:val="28"/>
          <w:szCs w:val="28"/>
        </w:rPr>
        <w:t>Palabras clave:</w:t>
      </w:r>
      <w:r>
        <w:t xml:space="preserve"> captura del regulador, contabilidad de costos, gasoductos, subsidios cruzados, tarifas.</w:t>
      </w:r>
    </w:p>
    <w:p w14:paraId="69FD8F11" w14:textId="77777777" w:rsidR="0072097E" w:rsidRDefault="0072097E">
      <w:pPr>
        <w:spacing w:line="360" w:lineRule="auto"/>
        <w:jc w:val="both"/>
      </w:pPr>
    </w:p>
    <w:p w14:paraId="3F666DD8" w14:textId="77777777" w:rsidR="0072097E" w:rsidRPr="00747203" w:rsidRDefault="00000000">
      <w:pPr>
        <w:spacing w:line="360" w:lineRule="auto"/>
        <w:jc w:val="both"/>
        <w:rPr>
          <w:rFonts w:asciiTheme="minorHAnsi" w:hAnsiTheme="minorHAnsi" w:cstheme="minorHAnsi"/>
          <w:b/>
          <w:bCs/>
          <w:sz w:val="28"/>
          <w:szCs w:val="28"/>
          <w:lang w:val="en-US"/>
        </w:rPr>
      </w:pPr>
      <w:r w:rsidRPr="00747203">
        <w:rPr>
          <w:rFonts w:asciiTheme="minorHAnsi" w:hAnsiTheme="minorHAnsi" w:cstheme="minorHAnsi"/>
          <w:b/>
          <w:bCs/>
          <w:sz w:val="28"/>
          <w:szCs w:val="28"/>
          <w:lang w:val="en-US"/>
        </w:rPr>
        <w:t>Abstract</w:t>
      </w:r>
    </w:p>
    <w:p w14:paraId="5790DC2C" w14:textId="77777777" w:rsidR="0072097E" w:rsidRDefault="00000000">
      <w:pPr>
        <w:spacing w:line="360" w:lineRule="auto"/>
        <w:jc w:val="both"/>
        <w:rPr>
          <w:lang w:val="en-US"/>
        </w:rPr>
      </w:pPr>
      <w:r>
        <w:rPr>
          <w:lang w:val="en-US"/>
        </w:rPr>
        <w:t xml:space="preserve">There are </w:t>
      </w:r>
      <w:proofErr w:type="gramStart"/>
      <w:r>
        <w:rPr>
          <w:lang w:val="en-US"/>
        </w:rPr>
        <w:t>a number of</w:t>
      </w:r>
      <w:proofErr w:type="gramEnd"/>
      <w:r>
        <w:rPr>
          <w:lang w:val="en-US"/>
        </w:rPr>
        <w:t xml:space="preserve"> natural gas distribution permits to various cities in Mexico in which the criteria for setting rates by the regulatory body (CRE) are not replicable due to incomplete information. This lack of transparency breaches regulatory principles and can set up a situation of regulator capture. This encourages the opening of a field of academic analysis on the practice of natural gas regulation in Mexico, which has been alien to traditional research on energy policy.</w:t>
      </w:r>
    </w:p>
    <w:p w14:paraId="2BE3310D" w14:textId="1088DD2E" w:rsidR="0072097E" w:rsidRPr="0039141E" w:rsidRDefault="00000000">
      <w:pPr>
        <w:spacing w:line="360" w:lineRule="auto"/>
        <w:jc w:val="both"/>
        <w:rPr>
          <w:lang w:val="en-US"/>
        </w:rPr>
      </w:pPr>
      <w:r>
        <w:rPr>
          <w:lang w:val="en-US"/>
        </w:rPr>
        <w:t>The case of the 2015 gas distribution tariffs to Mexico City is studied, under the question of whether the lack of information hides cross subsidies and capture of the regulator. The hypothesis is that through a methodology based on regulatory accounting it is possible to reconstruct the allocation of costs calculated by the regulator, despite the absence of information on the original calculation. This hypothesis is verified and reveals the existence of cross subsidies against domestic users who pay 70% of the costs but receive only 15% of the energy. The consequences of this finding are 1) it is possible to generate a robust regulatory accounting methodology to be applied to the set of existing cases and 2) the intervention of academia can help expose and improve regulatory practice to avoid regulator capture, which would be significant in the context of paradigm shifts in energy policy in Mexico.</w:t>
      </w:r>
    </w:p>
    <w:p w14:paraId="45DD77B2" w14:textId="77777777" w:rsidR="0072097E" w:rsidRDefault="00000000">
      <w:pPr>
        <w:spacing w:line="360" w:lineRule="auto"/>
        <w:jc w:val="both"/>
        <w:rPr>
          <w:lang w:val="en-US"/>
        </w:rPr>
      </w:pPr>
      <w:r w:rsidRPr="008B4AAC">
        <w:rPr>
          <w:rFonts w:asciiTheme="minorHAnsi" w:hAnsiTheme="minorHAnsi" w:cstheme="minorHAnsi"/>
          <w:b/>
          <w:bCs/>
          <w:sz w:val="28"/>
          <w:szCs w:val="28"/>
          <w:lang w:val="en-US"/>
        </w:rPr>
        <w:t>Keywords:</w:t>
      </w:r>
      <w:r>
        <w:rPr>
          <w:lang w:val="en-US"/>
        </w:rPr>
        <w:t xml:space="preserve"> regulator capture, cost accounting, gas pipelines, cross subsidies, tariffs.</w:t>
      </w:r>
    </w:p>
    <w:p w14:paraId="4BFD01AA" w14:textId="77777777" w:rsidR="000E2659" w:rsidRDefault="000E2659">
      <w:pPr>
        <w:spacing w:line="360" w:lineRule="auto"/>
        <w:jc w:val="both"/>
        <w:rPr>
          <w:lang w:val="en-US"/>
        </w:rPr>
      </w:pPr>
    </w:p>
    <w:p w14:paraId="46C7B8EC" w14:textId="77777777" w:rsidR="0039141E" w:rsidRDefault="0039141E">
      <w:pPr>
        <w:spacing w:line="360" w:lineRule="auto"/>
        <w:jc w:val="both"/>
        <w:rPr>
          <w:lang w:val="en-US"/>
        </w:rPr>
      </w:pPr>
    </w:p>
    <w:p w14:paraId="072E1C9C" w14:textId="77777777" w:rsidR="000E2659" w:rsidRDefault="000E2659">
      <w:pPr>
        <w:spacing w:line="360" w:lineRule="auto"/>
        <w:jc w:val="both"/>
        <w:rPr>
          <w:lang w:val="en-US"/>
        </w:rPr>
      </w:pPr>
    </w:p>
    <w:p w14:paraId="59BF1B05" w14:textId="22C468F5" w:rsidR="000E2659" w:rsidRPr="000E2659" w:rsidRDefault="000E2659">
      <w:pPr>
        <w:spacing w:line="360" w:lineRule="auto"/>
        <w:jc w:val="both"/>
        <w:rPr>
          <w:rFonts w:asciiTheme="minorHAnsi" w:hAnsiTheme="minorHAnsi" w:cstheme="minorHAnsi"/>
          <w:b/>
          <w:bCs/>
          <w:sz w:val="28"/>
          <w:szCs w:val="28"/>
        </w:rPr>
      </w:pPr>
      <w:r w:rsidRPr="000E2659">
        <w:rPr>
          <w:rFonts w:asciiTheme="minorHAnsi" w:hAnsiTheme="minorHAnsi" w:cstheme="minorHAnsi"/>
          <w:b/>
          <w:bCs/>
          <w:sz w:val="28"/>
          <w:szCs w:val="28"/>
        </w:rPr>
        <w:lastRenderedPageBreak/>
        <w:t>Resumo</w:t>
      </w:r>
    </w:p>
    <w:p w14:paraId="210ABD69" w14:textId="77777777" w:rsidR="000E2659" w:rsidRPr="000E2659" w:rsidRDefault="000E2659" w:rsidP="000E2659">
      <w:pPr>
        <w:spacing w:line="360" w:lineRule="auto"/>
        <w:jc w:val="both"/>
      </w:pPr>
      <w:proofErr w:type="spellStart"/>
      <w:r w:rsidRPr="000E2659">
        <w:t>Existem</w:t>
      </w:r>
      <w:proofErr w:type="spellEnd"/>
      <w:r w:rsidRPr="000E2659">
        <w:t xml:space="preserve"> </w:t>
      </w:r>
      <w:proofErr w:type="spellStart"/>
      <w:r w:rsidRPr="000E2659">
        <w:t>várias</w:t>
      </w:r>
      <w:proofErr w:type="spellEnd"/>
      <w:r w:rsidRPr="000E2659">
        <w:t xml:space="preserve"> </w:t>
      </w:r>
      <w:proofErr w:type="spellStart"/>
      <w:r w:rsidRPr="000E2659">
        <w:t>licenças</w:t>
      </w:r>
      <w:proofErr w:type="spellEnd"/>
      <w:r w:rsidRPr="000E2659">
        <w:t xml:space="preserve"> de </w:t>
      </w:r>
      <w:proofErr w:type="spellStart"/>
      <w:r w:rsidRPr="000E2659">
        <w:t>distribuição</w:t>
      </w:r>
      <w:proofErr w:type="spellEnd"/>
      <w:r w:rsidRPr="000E2659">
        <w:t xml:space="preserve"> de </w:t>
      </w:r>
      <w:proofErr w:type="spellStart"/>
      <w:r w:rsidRPr="000E2659">
        <w:t>gás</w:t>
      </w:r>
      <w:proofErr w:type="spellEnd"/>
      <w:r w:rsidRPr="000E2659">
        <w:t xml:space="preserve"> natural para </w:t>
      </w:r>
      <w:proofErr w:type="spellStart"/>
      <w:r w:rsidRPr="000E2659">
        <w:t>várias</w:t>
      </w:r>
      <w:proofErr w:type="spellEnd"/>
      <w:r w:rsidRPr="000E2659">
        <w:t xml:space="preserve"> </w:t>
      </w:r>
      <w:proofErr w:type="spellStart"/>
      <w:r w:rsidRPr="000E2659">
        <w:t>cidades</w:t>
      </w:r>
      <w:proofErr w:type="spellEnd"/>
      <w:r w:rsidRPr="000E2659">
        <w:t xml:space="preserve"> do México, </w:t>
      </w:r>
      <w:proofErr w:type="spellStart"/>
      <w:r w:rsidRPr="000E2659">
        <w:t>nas</w:t>
      </w:r>
      <w:proofErr w:type="spellEnd"/>
      <w:r w:rsidRPr="000E2659">
        <w:t xml:space="preserve"> </w:t>
      </w:r>
      <w:proofErr w:type="spellStart"/>
      <w:r w:rsidRPr="000E2659">
        <w:t>quais</w:t>
      </w:r>
      <w:proofErr w:type="spellEnd"/>
      <w:r w:rsidRPr="000E2659">
        <w:t xml:space="preserve"> os </w:t>
      </w:r>
      <w:proofErr w:type="spellStart"/>
      <w:r w:rsidRPr="000E2659">
        <w:t>critérios</w:t>
      </w:r>
      <w:proofErr w:type="spellEnd"/>
      <w:r w:rsidRPr="000E2659">
        <w:t xml:space="preserve"> de </w:t>
      </w:r>
      <w:proofErr w:type="spellStart"/>
      <w:r w:rsidRPr="000E2659">
        <w:t>definição</w:t>
      </w:r>
      <w:proofErr w:type="spellEnd"/>
      <w:r w:rsidRPr="000E2659">
        <w:t xml:space="preserve"> de tarifas pelo </w:t>
      </w:r>
      <w:proofErr w:type="spellStart"/>
      <w:r w:rsidRPr="000E2659">
        <w:t>órgão</w:t>
      </w:r>
      <w:proofErr w:type="spellEnd"/>
      <w:r w:rsidRPr="000E2659">
        <w:t xml:space="preserve"> regulador (CRE) </w:t>
      </w:r>
      <w:proofErr w:type="spellStart"/>
      <w:r w:rsidRPr="000E2659">
        <w:t>não</w:t>
      </w:r>
      <w:proofErr w:type="spellEnd"/>
      <w:r w:rsidRPr="000E2659">
        <w:t xml:space="preserve"> </w:t>
      </w:r>
      <w:proofErr w:type="spellStart"/>
      <w:r w:rsidRPr="000E2659">
        <w:t>são</w:t>
      </w:r>
      <w:proofErr w:type="spellEnd"/>
      <w:r w:rsidRPr="000E2659">
        <w:t xml:space="preserve"> </w:t>
      </w:r>
      <w:proofErr w:type="spellStart"/>
      <w:r w:rsidRPr="000E2659">
        <w:t>replicáveis</w:t>
      </w:r>
      <w:proofErr w:type="spellEnd"/>
      <w:r w:rsidRPr="000E2659">
        <w:t xml:space="preserve"> ​​</w:t>
      </w:r>
      <w:proofErr w:type="spellStart"/>
      <w:r w:rsidRPr="000E2659">
        <w:t>devido</w:t>
      </w:r>
      <w:proofErr w:type="spellEnd"/>
      <w:r w:rsidRPr="000E2659">
        <w:t xml:space="preserve"> a </w:t>
      </w:r>
      <w:proofErr w:type="spellStart"/>
      <w:r w:rsidRPr="000E2659">
        <w:t>informações</w:t>
      </w:r>
      <w:proofErr w:type="spellEnd"/>
      <w:r w:rsidRPr="000E2659">
        <w:t xml:space="preserve"> incompletas. </w:t>
      </w:r>
      <w:proofErr w:type="spellStart"/>
      <w:r w:rsidRPr="000E2659">
        <w:t>Essa</w:t>
      </w:r>
      <w:proofErr w:type="spellEnd"/>
      <w:r w:rsidRPr="000E2659">
        <w:t xml:space="preserve"> falta de </w:t>
      </w:r>
      <w:proofErr w:type="spellStart"/>
      <w:r w:rsidRPr="000E2659">
        <w:t>transparência</w:t>
      </w:r>
      <w:proofErr w:type="spellEnd"/>
      <w:r w:rsidRPr="000E2659">
        <w:t xml:space="preserve"> viola os </w:t>
      </w:r>
      <w:proofErr w:type="spellStart"/>
      <w:r w:rsidRPr="000E2659">
        <w:t>princípios</w:t>
      </w:r>
      <w:proofErr w:type="spellEnd"/>
      <w:r w:rsidRPr="000E2659">
        <w:t xml:space="preserve"> </w:t>
      </w:r>
      <w:proofErr w:type="spellStart"/>
      <w:r w:rsidRPr="000E2659">
        <w:t>regulatórios</w:t>
      </w:r>
      <w:proofErr w:type="spellEnd"/>
      <w:r w:rsidRPr="000E2659">
        <w:t xml:space="preserve"> e pode configurar </w:t>
      </w:r>
      <w:proofErr w:type="spellStart"/>
      <w:r w:rsidRPr="000E2659">
        <w:t>uma</w:t>
      </w:r>
      <w:proofErr w:type="spellEnd"/>
      <w:r w:rsidRPr="000E2659">
        <w:t xml:space="preserve"> </w:t>
      </w:r>
      <w:proofErr w:type="spellStart"/>
      <w:r w:rsidRPr="000E2659">
        <w:t>situação</w:t>
      </w:r>
      <w:proofErr w:type="spellEnd"/>
      <w:r w:rsidRPr="000E2659">
        <w:t xml:space="preserve"> de captura do regulador. </w:t>
      </w:r>
      <w:proofErr w:type="spellStart"/>
      <w:r w:rsidRPr="000E2659">
        <w:t>Essa</w:t>
      </w:r>
      <w:proofErr w:type="spellEnd"/>
      <w:r w:rsidRPr="000E2659">
        <w:t xml:space="preserve"> </w:t>
      </w:r>
      <w:proofErr w:type="spellStart"/>
      <w:r w:rsidRPr="000E2659">
        <w:t>situação</w:t>
      </w:r>
      <w:proofErr w:type="spellEnd"/>
      <w:r w:rsidRPr="000E2659">
        <w:t xml:space="preserve"> favorece a abertura de </w:t>
      </w:r>
      <w:proofErr w:type="spellStart"/>
      <w:r w:rsidRPr="000E2659">
        <w:t>um</w:t>
      </w:r>
      <w:proofErr w:type="spellEnd"/>
      <w:r w:rsidRPr="000E2659">
        <w:t xml:space="preserve"> campo de </w:t>
      </w:r>
      <w:proofErr w:type="spellStart"/>
      <w:r w:rsidRPr="000E2659">
        <w:t>análise</w:t>
      </w:r>
      <w:proofErr w:type="spellEnd"/>
      <w:r w:rsidRPr="000E2659">
        <w:t xml:space="preserve"> </w:t>
      </w:r>
      <w:proofErr w:type="spellStart"/>
      <w:r w:rsidRPr="000E2659">
        <w:t>acadêmica</w:t>
      </w:r>
      <w:proofErr w:type="spellEnd"/>
      <w:r w:rsidRPr="000E2659">
        <w:t xml:space="preserve"> sobre a </w:t>
      </w:r>
      <w:proofErr w:type="spellStart"/>
      <w:r w:rsidRPr="000E2659">
        <w:t>prática</w:t>
      </w:r>
      <w:proofErr w:type="spellEnd"/>
      <w:r w:rsidRPr="000E2659">
        <w:t xml:space="preserve"> da </w:t>
      </w:r>
      <w:proofErr w:type="spellStart"/>
      <w:r w:rsidRPr="000E2659">
        <w:t>regulação</w:t>
      </w:r>
      <w:proofErr w:type="spellEnd"/>
      <w:r w:rsidRPr="000E2659">
        <w:t xml:space="preserve"> do </w:t>
      </w:r>
      <w:proofErr w:type="spellStart"/>
      <w:r w:rsidRPr="000E2659">
        <w:t>gás</w:t>
      </w:r>
      <w:proofErr w:type="spellEnd"/>
      <w:r w:rsidRPr="000E2659">
        <w:t xml:space="preserve"> natural no México, que </w:t>
      </w:r>
      <w:proofErr w:type="spellStart"/>
      <w:r w:rsidRPr="000E2659">
        <w:t>tem</w:t>
      </w:r>
      <w:proofErr w:type="spellEnd"/>
      <w:r w:rsidRPr="000E2659">
        <w:t xml:space="preserve"> sido </w:t>
      </w:r>
      <w:proofErr w:type="spellStart"/>
      <w:r w:rsidRPr="000E2659">
        <w:t>alheio</w:t>
      </w:r>
      <w:proofErr w:type="spellEnd"/>
      <w:r w:rsidRPr="000E2659">
        <w:t xml:space="preserve"> à pesquisa tradicional sobre política energética.</w:t>
      </w:r>
    </w:p>
    <w:p w14:paraId="34113B17" w14:textId="77777777" w:rsidR="000E2659" w:rsidRPr="000E2659" w:rsidRDefault="000E2659" w:rsidP="000E2659">
      <w:pPr>
        <w:spacing w:line="360" w:lineRule="auto"/>
        <w:jc w:val="both"/>
      </w:pPr>
      <w:r w:rsidRPr="000E2659">
        <w:t xml:space="preserve">O caso das tarifas de </w:t>
      </w:r>
      <w:proofErr w:type="spellStart"/>
      <w:r w:rsidRPr="000E2659">
        <w:t>distribuição</w:t>
      </w:r>
      <w:proofErr w:type="spellEnd"/>
      <w:r w:rsidRPr="000E2659">
        <w:t xml:space="preserve"> de </w:t>
      </w:r>
      <w:proofErr w:type="spellStart"/>
      <w:r w:rsidRPr="000E2659">
        <w:t>gás</w:t>
      </w:r>
      <w:proofErr w:type="spellEnd"/>
      <w:r w:rsidRPr="000E2659">
        <w:t xml:space="preserve"> para a </w:t>
      </w:r>
      <w:proofErr w:type="spellStart"/>
      <w:r w:rsidRPr="000E2659">
        <w:t>Cidade</w:t>
      </w:r>
      <w:proofErr w:type="spellEnd"/>
      <w:r w:rsidRPr="000E2659">
        <w:t xml:space="preserve"> do México em 2015 é </w:t>
      </w:r>
      <w:proofErr w:type="spellStart"/>
      <w:r w:rsidRPr="000E2659">
        <w:t>estudado</w:t>
      </w:r>
      <w:proofErr w:type="spellEnd"/>
      <w:r w:rsidRPr="000E2659">
        <w:t xml:space="preserve">, </w:t>
      </w:r>
      <w:proofErr w:type="spellStart"/>
      <w:r w:rsidRPr="000E2659">
        <w:t>sob</w:t>
      </w:r>
      <w:proofErr w:type="spellEnd"/>
      <w:r w:rsidRPr="000E2659">
        <w:t xml:space="preserve"> a </w:t>
      </w:r>
      <w:proofErr w:type="spellStart"/>
      <w:r w:rsidRPr="000E2659">
        <w:t>questão</w:t>
      </w:r>
      <w:proofErr w:type="spellEnd"/>
      <w:r w:rsidRPr="000E2659">
        <w:t xml:space="preserve"> de saber se a falta de </w:t>
      </w:r>
      <w:proofErr w:type="spellStart"/>
      <w:r w:rsidRPr="000E2659">
        <w:t>informação</w:t>
      </w:r>
      <w:proofErr w:type="spellEnd"/>
      <w:r w:rsidRPr="000E2659">
        <w:t xml:space="preserve"> esconde </w:t>
      </w:r>
      <w:proofErr w:type="spellStart"/>
      <w:r w:rsidRPr="000E2659">
        <w:t>subsídios</w:t>
      </w:r>
      <w:proofErr w:type="spellEnd"/>
      <w:r w:rsidRPr="000E2659">
        <w:t xml:space="preserve"> cruzados </w:t>
      </w:r>
      <w:proofErr w:type="gramStart"/>
      <w:r w:rsidRPr="000E2659">
        <w:t>e</w:t>
      </w:r>
      <w:proofErr w:type="gramEnd"/>
      <w:r w:rsidRPr="000E2659">
        <w:t xml:space="preserve"> captura do regulador. A </w:t>
      </w:r>
      <w:proofErr w:type="spellStart"/>
      <w:r w:rsidRPr="000E2659">
        <w:t>hipótese</w:t>
      </w:r>
      <w:proofErr w:type="spellEnd"/>
      <w:r w:rsidRPr="000E2659">
        <w:t xml:space="preserve"> é que </w:t>
      </w:r>
      <w:proofErr w:type="spellStart"/>
      <w:r w:rsidRPr="000E2659">
        <w:t>através</w:t>
      </w:r>
      <w:proofErr w:type="spellEnd"/>
      <w:r w:rsidRPr="000E2659">
        <w:t xml:space="preserve"> de </w:t>
      </w:r>
      <w:proofErr w:type="spellStart"/>
      <w:r w:rsidRPr="000E2659">
        <w:t>uma</w:t>
      </w:r>
      <w:proofErr w:type="spellEnd"/>
      <w:r w:rsidRPr="000E2659">
        <w:t xml:space="preserve"> </w:t>
      </w:r>
      <w:proofErr w:type="spellStart"/>
      <w:r w:rsidRPr="000E2659">
        <w:t>metodologia</w:t>
      </w:r>
      <w:proofErr w:type="spellEnd"/>
      <w:r w:rsidRPr="000E2659">
        <w:t xml:space="preserve"> </w:t>
      </w:r>
      <w:proofErr w:type="spellStart"/>
      <w:r w:rsidRPr="000E2659">
        <w:t>baseada</w:t>
      </w:r>
      <w:proofErr w:type="spellEnd"/>
      <w:r w:rsidRPr="000E2659">
        <w:t xml:space="preserve"> </w:t>
      </w:r>
      <w:proofErr w:type="spellStart"/>
      <w:r w:rsidRPr="000E2659">
        <w:t>na</w:t>
      </w:r>
      <w:proofErr w:type="spellEnd"/>
      <w:r w:rsidRPr="000E2659">
        <w:t xml:space="preserve"> </w:t>
      </w:r>
      <w:proofErr w:type="spellStart"/>
      <w:r w:rsidRPr="000E2659">
        <w:t>contabilidade</w:t>
      </w:r>
      <w:proofErr w:type="spellEnd"/>
      <w:r w:rsidRPr="000E2659">
        <w:t xml:space="preserve"> </w:t>
      </w:r>
      <w:proofErr w:type="spellStart"/>
      <w:r w:rsidRPr="000E2659">
        <w:t>regulatória</w:t>
      </w:r>
      <w:proofErr w:type="spellEnd"/>
      <w:r w:rsidRPr="000E2659">
        <w:t xml:space="preserve"> é </w:t>
      </w:r>
      <w:proofErr w:type="spellStart"/>
      <w:r w:rsidRPr="000E2659">
        <w:t>possível</w:t>
      </w:r>
      <w:proofErr w:type="spellEnd"/>
      <w:r w:rsidRPr="000E2659">
        <w:t xml:space="preserve"> reconstruir a </w:t>
      </w:r>
      <w:proofErr w:type="spellStart"/>
      <w:r w:rsidRPr="000E2659">
        <w:t>alocação</w:t>
      </w:r>
      <w:proofErr w:type="spellEnd"/>
      <w:r w:rsidRPr="000E2659">
        <w:t xml:space="preserve"> de </w:t>
      </w:r>
      <w:proofErr w:type="spellStart"/>
      <w:r w:rsidRPr="000E2659">
        <w:t>custos</w:t>
      </w:r>
      <w:proofErr w:type="spellEnd"/>
      <w:r w:rsidRPr="000E2659">
        <w:t xml:space="preserve"> calculada pelo regulador. Esta </w:t>
      </w:r>
      <w:proofErr w:type="spellStart"/>
      <w:r w:rsidRPr="000E2659">
        <w:t>hipótese</w:t>
      </w:r>
      <w:proofErr w:type="spellEnd"/>
      <w:r w:rsidRPr="000E2659">
        <w:t xml:space="preserve"> verifica-se e revela a </w:t>
      </w:r>
      <w:proofErr w:type="spellStart"/>
      <w:r w:rsidRPr="000E2659">
        <w:t>existência</w:t>
      </w:r>
      <w:proofErr w:type="spellEnd"/>
      <w:r w:rsidRPr="000E2659">
        <w:t xml:space="preserve"> de </w:t>
      </w:r>
      <w:proofErr w:type="spellStart"/>
      <w:r w:rsidRPr="000E2659">
        <w:t>subsídios</w:t>
      </w:r>
      <w:proofErr w:type="spellEnd"/>
      <w:r w:rsidRPr="000E2659">
        <w:t xml:space="preserve"> cruzados contra os utilizadores domésticos, que </w:t>
      </w:r>
      <w:proofErr w:type="spellStart"/>
      <w:r w:rsidRPr="000E2659">
        <w:t>pagam</w:t>
      </w:r>
      <w:proofErr w:type="spellEnd"/>
      <w:r w:rsidRPr="000E2659">
        <w:t xml:space="preserve"> 70% dos </w:t>
      </w:r>
      <w:proofErr w:type="spellStart"/>
      <w:r w:rsidRPr="000E2659">
        <w:t>custos</w:t>
      </w:r>
      <w:proofErr w:type="spellEnd"/>
      <w:r w:rsidRPr="000E2659">
        <w:t xml:space="preserve"> </w:t>
      </w:r>
      <w:proofErr w:type="spellStart"/>
      <w:r w:rsidRPr="000E2659">
        <w:t>mas</w:t>
      </w:r>
      <w:proofErr w:type="spellEnd"/>
      <w:r w:rsidRPr="000E2659">
        <w:t xml:space="preserve"> </w:t>
      </w:r>
      <w:proofErr w:type="spellStart"/>
      <w:r w:rsidRPr="000E2659">
        <w:t>recebem</w:t>
      </w:r>
      <w:proofErr w:type="spellEnd"/>
      <w:r w:rsidRPr="000E2659">
        <w:t xml:space="preserve"> apenas 15% da </w:t>
      </w:r>
      <w:proofErr w:type="spellStart"/>
      <w:r w:rsidRPr="000E2659">
        <w:t>energia</w:t>
      </w:r>
      <w:proofErr w:type="spellEnd"/>
      <w:r w:rsidRPr="000E2659">
        <w:t xml:space="preserve">. As </w:t>
      </w:r>
      <w:proofErr w:type="spellStart"/>
      <w:r w:rsidRPr="000E2659">
        <w:t>consequências</w:t>
      </w:r>
      <w:proofErr w:type="spellEnd"/>
      <w:r w:rsidRPr="000E2659">
        <w:t xml:space="preserve"> </w:t>
      </w:r>
      <w:proofErr w:type="spellStart"/>
      <w:r w:rsidRPr="000E2659">
        <w:t>dessa</w:t>
      </w:r>
      <w:proofErr w:type="spellEnd"/>
      <w:r w:rsidRPr="000E2659">
        <w:t xml:space="preserve"> </w:t>
      </w:r>
      <w:proofErr w:type="spellStart"/>
      <w:r w:rsidRPr="000E2659">
        <w:t>constatação</w:t>
      </w:r>
      <w:proofErr w:type="spellEnd"/>
      <w:r w:rsidRPr="000E2659">
        <w:t xml:space="preserve"> </w:t>
      </w:r>
      <w:proofErr w:type="spellStart"/>
      <w:r w:rsidRPr="000E2659">
        <w:t>são</w:t>
      </w:r>
      <w:proofErr w:type="spellEnd"/>
      <w:r w:rsidRPr="000E2659">
        <w:t xml:space="preserve">: 1) que é </w:t>
      </w:r>
      <w:proofErr w:type="spellStart"/>
      <w:r w:rsidRPr="000E2659">
        <w:t>possível</w:t>
      </w:r>
      <w:proofErr w:type="spellEnd"/>
      <w:r w:rsidRPr="000E2659">
        <w:t xml:space="preserve"> </w:t>
      </w:r>
      <w:proofErr w:type="spellStart"/>
      <w:r w:rsidRPr="000E2659">
        <w:t>gerar</w:t>
      </w:r>
      <w:proofErr w:type="spellEnd"/>
      <w:r w:rsidRPr="000E2659">
        <w:t xml:space="preserve"> </w:t>
      </w:r>
      <w:proofErr w:type="spellStart"/>
      <w:r w:rsidRPr="000E2659">
        <w:t>uma</w:t>
      </w:r>
      <w:proofErr w:type="spellEnd"/>
      <w:r w:rsidRPr="000E2659">
        <w:t xml:space="preserve"> </w:t>
      </w:r>
      <w:proofErr w:type="spellStart"/>
      <w:r w:rsidRPr="000E2659">
        <w:t>metodologia</w:t>
      </w:r>
      <w:proofErr w:type="spellEnd"/>
      <w:r w:rsidRPr="000E2659">
        <w:t xml:space="preserve"> robusta de </w:t>
      </w:r>
      <w:proofErr w:type="spellStart"/>
      <w:r w:rsidRPr="000E2659">
        <w:t>contabilidade</w:t>
      </w:r>
      <w:proofErr w:type="spellEnd"/>
      <w:r w:rsidRPr="000E2659">
        <w:t xml:space="preserve"> </w:t>
      </w:r>
      <w:proofErr w:type="spellStart"/>
      <w:r w:rsidRPr="000E2659">
        <w:t>regulatória</w:t>
      </w:r>
      <w:proofErr w:type="spellEnd"/>
      <w:r w:rsidRPr="000E2659">
        <w:t xml:space="preserve"> a ser aplicada </w:t>
      </w:r>
      <w:proofErr w:type="spellStart"/>
      <w:r w:rsidRPr="000E2659">
        <w:t>ao</w:t>
      </w:r>
      <w:proofErr w:type="spellEnd"/>
      <w:r w:rsidRPr="000E2659">
        <w:t xml:space="preserve"> conjunto de casos existentes </w:t>
      </w:r>
      <w:proofErr w:type="spellStart"/>
      <w:r w:rsidRPr="000E2659">
        <w:t>e</w:t>
      </w:r>
      <w:proofErr w:type="spellEnd"/>
      <w:r w:rsidRPr="000E2659">
        <w:t xml:space="preserve"> 2) que a </w:t>
      </w:r>
      <w:proofErr w:type="spellStart"/>
      <w:r w:rsidRPr="000E2659">
        <w:t>intervenção</w:t>
      </w:r>
      <w:proofErr w:type="spellEnd"/>
      <w:r w:rsidRPr="000E2659">
        <w:t xml:space="preserve"> da academia pode </w:t>
      </w:r>
      <w:proofErr w:type="spellStart"/>
      <w:r w:rsidRPr="000E2659">
        <w:t>ajudar</w:t>
      </w:r>
      <w:proofErr w:type="spellEnd"/>
      <w:r w:rsidRPr="000E2659">
        <w:t xml:space="preserve"> a </w:t>
      </w:r>
      <w:proofErr w:type="spellStart"/>
      <w:r w:rsidRPr="000E2659">
        <w:t>expor</w:t>
      </w:r>
      <w:proofErr w:type="spellEnd"/>
      <w:r w:rsidRPr="000E2659">
        <w:t xml:space="preserve"> e </w:t>
      </w:r>
      <w:proofErr w:type="spellStart"/>
      <w:r w:rsidRPr="000E2659">
        <w:t>melhorar</w:t>
      </w:r>
      <w:proofErr w:type="spellEnd"/>
      <w:r w:rsidRPr="000E2659">
        <w:t xml:space="preserve"> a </w:t>
      </w:r>
      <w:proofErr w:type="spellStart"/>
      <w:r w:rsidRPr="000E2659">
        <w:t>prática</w:t>
      </w:r>
      <w:proofErr w:type="spellEnd"/>
      <w:r w:rsidRPr="000E2659">
        <w:t xml:space="preserve"> </w:t>
      </w:r>
      <w:proofErr w:type="spellStart"/>
      <w:r w:rsidRPr="000E2659">
        <w:t>regulatória</w:t>
      </w:r>
      <w:proofErr w:type="spellEnd"/>
      <w:r w:rsidRPr="000E2659">
        <w:t xml:space="preserve"> para evitar a captura de regulador, o que </w:t>
      </w:r>
      <w:proofErr w:type="spellStart"/>
      <w:r w:rsidRPr="000E2659">
        <w:t>seria</w:t>
      </w:r>
      <w:proofErr w:type="spellEnd"/>
      <w:r w:rsidRPr="000E2659">
        <w:t xml:space="preserve"> significativo no contexto de </w:t>
      </w:r>
      <w:proofErr w:type="spellStart"/>
      <w:r w:rsidRPr="000E2659">
        <w:t>mudanças</w:t>
      </w:r>
      <w:proofErr w:type="spellEnd"/>
      <w:r w:rsidRPr="000E2659">
        <w:t xml:space="preserve"> de paradigma </w:t>
      </w:r>
      <w:proofErr w:type="spellStart"/>
      <w:r w:rsidRPr="000E2659">
        <w:t>na</w:t>
      </w:r>
      <w:proofErr w:type="spellEnd"/>
      <w:r w:rsidRPr="000E2659">
        <w:t xml:space="preserve"> política energética do México.</w:t>
      </w:r>
    </w:p>
    <w:p w14:paraId="5C45B570" w14:textId="1414A1F2" w:rsidR="0072097E" w:rsidRDefault="000E2659" w:rsidP="000E2659">
      <w:pPr>
        <w:spacing w:line="360" w:lineRule="auto"/>
        <w:jc w:val="both"/>
      </w:pPr>
      <w:proofErr w:type="spellStart"/>
      <w:r w:rsidRPr="000E2659">
        <w:rPr>
          <w:rFonts w:asciiTheme="minorHAnsi" w:hAnsiTheme="minorHAnsi" w:cstheme="minorHAnsi"/>
          <w:b/>
          <w:bCs/>
          <w:sz w:val="28"/>
          <w:szCs w:val="28"/>
        </w:rPr>
        <w:t>Palavras</w:t>
      </w:r>
      <w:proofErr w:type="spellEnd"/>
      <w:r w:rsidRPr="000E2659">
        <w:rPr>
          <w:rFonts w:asciiTheme="minorHAnsi" w:hAnsiTheme="minorHAnsi" w:cstheme="minorHAnsi"/>
          <w:b/>
          <w:bCs/>
          <w:sz w:val="28"/>
          <w:szCs w:val="28"/>
        </w:rPr>
        <w:t>-chave:</w:t>
      </w:r>
      <w:r w:rsidRPr="000E2659">
        <w:t xml:space="preserve"> captura reguladora, </w:t>
      </w:r>
      <w:proofErr w:type="spellStart"/>
      <w:r w:rsidRPr="000E2659">
        <w:t>contabilidade</w:t>
      </w:r>
      <w:proofErr w:type="spellEnd"/>
      <w:r w:rsidRPr="000E2659">
        <w:t xml:space="preserve"> de </w:t>
      </w:r>
      <w:proofErr w:type="spellStart"/>
      <w:r w:rsidRPr="000E2659">
        <w:t>custos</w:t>
      </w:r>
      <w:proofErr w:type="spellEnd"/>
      <w:r w:rsidRPr="000E2659">
        <w:t xml:space="preserve">, pipelines, </w:t>
      </w:r>
      <w:proofErr w:type="spellStart"/>
      <w:r w:rsidRPr="000E2659">
        <w:t>subsídios</w:t>
      </w:r>
      <w:proofErr w:type="spellEnd"/>
      <w:r w:rsidRPr="000E2659">
        <w:t xml:space="preserve"> cruzados, tarifas.</w:t>
      </w:r>
    </w:p>
    <w:p w14:paraId="1F37E955" w14:textId="01E7887F" w:rsidR="000E2659" w:rsidRPr="00380D5E" w:rsidRDefault="000E2659" w:rsidP="00B71F87">
      <w:pPr>
        <w:jc w:val="both"/>
      </w:pPr>
      <w:r w:rsidRPr="00380D5E">
        <w:rPr>
          <w:b/>
          <w:color w:val="000000"/>
        </w:rPr>
        <w:t>Fecha Recepción:</w:t>
      </w:r>
      <w:r w:rsidRPr="00380D5E">
        <w:rPr>
          <w:color w:val="000000"/>
        </w:rPr>
        <w:t xml:space="preserve"> </w:t>
      </w:r>
      <w:proofErr w:type="gramStart"/>
      <w:r>
        <w:rPr>
          <w:color w:val="000000"/>
        </w:rPr>
        <w:t>Febrero</w:t>
      </w:r>
      <w:proofErr w:type="gramEnd"/>
      <w:r>
        <w:rPr>
          <w:color w:val="000000"/>
        </w:rPr>
        <w:t xml:space="preserve"> 2023</w:t>
      </w:r>
      <w:r w:rsidRPr="00380D5E">
        <w:rPr>
          <w:color w:val="000000"/>
        </w:rPr>
        <w:t xml:space="preserve">     </w:t>
      </w:r>
      <w:r w:rsidRPr="00380D5E">
        <w:rPr>
          <w:b/>
          <w:color w:val="000000"/>
        </w:rPr>
        <w:t>Fecha Aceptación:</w:t>
      </w:r>
      <w:r w:rsidRPr="00380D5E">
        <w:rPr>
          <w:color w:val="000000"/>
        </w:rPr>
        <w:t xml:space="preserve"> </w:t>
      </w:r>
      <w:r>
        <w:rPr>
          <w:color w:val="000000"/>
        </w:rPr>
        <w:t>Julio 2023</w:t>
      </w:r>
      <w:r w:rsidRPr="00380D5E">
        <w:rPr>
          <w:color w:val="000000"/>
        </w:rPr>
        <w:br/>
      </w:r>
      <w:r w:rsidR="00000000">
        <w:rPr>
          <w:noProof/>
        </w:rPr>
        <w:pict w14:anchorId="30F76DB1">
          <v:rect id="_x0000_i1025" alt="" style="width:441.9pt;height:.05pt;mso-width-percent:0;mso-height-percent:0;mso-width-percent:0;mso-height-percent:0" o:hralign="center" o:hrstd="t" o:hr="t" fillcolor="#a0a0a0" stroked="f"/>
        </w:pict>
      </w:r>
    </w:p>
    <w:p w14:paraId="190B5A7A" w14:textId="77777777" w:rsidR="0072097E" w:rsidRPr="000E2659" w:rsidRDefault="00000000" w:rsidP="000E2659">
      <w:pPr>
        <w:spacing w:line="360" w:lineRule="auto"/>
        <w:jc w:val="center"/>
        <w:rPr>
          <w:b/>
          <w:bCs/>
          <w:sz w:val="32"/>
          <w:szCs w:val="32"/>
        </w:rPr>
      </w:pPr>
      <w:r w:rsidRPr="000E2659">
        <w:rPr>
          <w:b/>
          <w:bCs/>
          <w:sz w:val="32"/>
          <w:szCs w:val="32"/>
        </w:rPr>
        <w:t>Introducción</w:t>
      </w:r>
    </w:p>
    <w:p w14:paraId="639ABD9B" w14:textId="77777777" w:rsidR="0072097E" w:rsidRDefault="00000000">
      <w:pPr>
        <w:spacing w:line="360" w:lineRule="auto"/>
        <w:jc w:val="both"/>
        <w:rPr>
          <w:b/>
          <w:bCs/>
          <w:sz w:val="28"/>
          <w:szCs w:val="28"/>
        </w:rPr>
      </w:pPr>
      <w:r>
        <w:t>La adopción del modelo económico neoliberal en México significó para su sector energético una transformación de leyes e instituciones que permitieran la entrada de inversión extranjera en la operación de cadenas energéticas, comenzando por la del gas natural. En el período de 1994 a 1996 tuvieron lugar la modificación de la Ley Reglamentaria del Artículo 27 Constitucional en el Ramo del Petróleo, la creación de la Comisión Reguladora de Energía (CRE) y la adopción del Reglamento de Gas Natural y de la "Directiva sobre la Determinación de Precios y Tarifas para las Actividades Reguladas en materia de Gas Natural" (Directiva de Tarifas).</w:t>
      </w:r>
    </w:p>
    <w:p w14:paraId="4268C17E" w14:textId="77777777" w:rsidR="0072097E" w:rsidRDefault="00000000">
      <w:pPr>
        <w:spacing w:line="360" w:lineRule="auto"/>
        <w:ind w:firstLine="709"/>
        <w:jc w:val="both"/>
      </w:pPr>
      <w:r>
        <w:t xml:space="preserve">La CRE fue creada con la misión de aplicar los principios antimonopólicos en las industrias de energía, especialmente en la del gas. La tarea de la CRE era clave en el nuevo modelo de política energética, pues pretendía fomentar la inversión privada en la </w:t>
      </w:r>
      <w:r>
        <w:lastRenderedPageBreak/>
        <w:t>infraestructura de gas natural, asegurar precios del combustible según criterios de rentabilidad razonables, y lograr así una nueva base de desarrollo económico basada en una expansión de la oferta de energía.</w:t>
      </w:r>
      <w:r>
        <w:rPr>
          <w:rStyle w:val="Refdenotaalpie"/>
        </w:rPr>
        <w:footnoteReference w:id="1"/>
      </w:r>
      <w:r>
        <w:t xml:space="preserve">. </w:t>
      </w:r>
    </w:p>
    <w:p w14:paraId="47D3E4FA" w14:textId="7221B928" w:rsidR="0072097E" w:rsidRDefault="00000000">
      <w:pPr>
        <w:spacing w:line="360" w:lineRule="auto"/>
        <w:jc w:val="both"/>
      </w:pPr>
      <w:r>
        <w:tab/>
        <w:t>La racionalidad de la regulación es mantener un equilibrio entre los intereses de las empresas y los de los usuarios (</w:t>
      </w:r>
      <w:r w:rsidR="000F30B6">
        <w:t xml:space="preserve">Posner, 1974, </w:t>
      </w:r>
      <w:r>
        <w:t xml:space="preserve">Boehm, 2015). Por ello, las claves de un marco regulatorio eficiente son contar con políticas claras, transparencia, difusión pública, reglas predecibles y una capacidad institucional adecuada, de manera tal que el regulador pueda oponerse a la captura por parte de la industria o del Estado (Sunita y </w:t>
      </w:r>
      <w:proofErr w:type="spellStart"/>
      <w:r>
        <w:t>Nellis</w:t>
      </w:r>
      <w:proofErr w:type="spellEnd"/>
      <w:r>
        <w:t>, 2004). El marco regulador debe establecer tarifas que reflejen de manera transparente los costos incurridos, eviten subsidios cruzados, permitan a las empresas obtener una rentabilidad razonable sobre su capital invertido y recuperar los costos totales incurridos para prestar el servicio (CRE, 2007). De no cumplirse estos supuestos, la regulación incurre en fallas que promueven beneficios indebidos a las empresas en detrimento de los usuarios (</w:t>
      </w:r>
      <w:proofErr w:type="spellStart"/>
      <w:r>
        <w:t>Stigler</w:t>
      </w:r>
      <w:proofErr w:type="spellEnd"/>
      <w:r>
        <w:t xml:space="preserve">, 1971; Sunita y </w:t>
      </w:r>
      <w:proofErr w:type="spellStart"/>
      <w:r>
        <w:t>Nellis</w:t>
      </w:r>
      <w:proofErr w:type="spellEnd"/>
      <w:r>
        <w:t>, 2004).</w:t>
      </w:r>
    </w:p>
    <w:p w14:paraId="27041B5F" w14:textId="4053206C" w:rsidR="0072097E" w:rsidRDefault="00000000">
      <w:pPr>
        <w:spacing w:line="360" w:lineRule="auto"/>
        <w:jc w:val="both"/>
      </w:pPr>
      <w:r>
        <w:tab/>
        <w:t>El principio de la transparencia de la regulación exige que los cálculos de precios y tarifas sean replicables, a fin de generar certeza sobre la calidad de la información y los procesos de contabilidad empleados. Sin esa posibilidad de replicabilidad, las disposiciones legales que definen la función pública de la regulación no estarían siendo observadas por el organismo regulador, incurriéndose en una falta de transparencia que oculta la captura del regulador (Boehm, 20</w:t>
      </w:r>
      <w:r w:rsidR="000F30B6">
        <w:t>15</w:t>
      </w:r>
      <w:r>
        <w:t xml:space="preserve">). En este sentido, </w:t>
      </w:r>
      <w:proofErr w:type="spellStart"/>
      <w:r>
        <w:t>Martimort</w:t>
      </w:r>
      <w:proofErr w:type="spellEnd"/>
      <w:r>
        <w:t xml:space="preserve"> (1999) menciona que la fuente del poder discrecional del regulador emana de la información que obtiene por su estrecha relación con la empresa regulada. Dicha información es socialmente útil, y cuando es capturado por la empresa, puede ocultarla para obtener sobornos o futuras oportunidades de negocio.</w:t>
      </w:r>
    </w:p>
    <w:p w14:paraId="2A47CED8" w14:textId="77777777" w:rsidR="0039141E" w:rsidRDefault="0039141E">
      <w:pPr>
        <w:spacing w:line="360" w:lineRule="auto"/>
        <w:jc w:val="both"/>
      </w:pPr>
    </w:p>
    <w:p w14:paraId="4421D020" w14:textId="77777777" w:rsidR="0072097E" w:rsidRPr="000E2659" w:rsidRDefault="00000000" w:rsidP="000E2659">
      <w:pPr>
        <w:spacing w:line="360" w:lineRule="auto"/>
        <w:jc w:val="center"/>
        <w:rPr>
          <w:b/>
          <w:bCs/>
          <w:sz w:val="28"/>
          <w:szCs w:val="28"/>
        </w:rPr>
      </w:pPr>
      <w:r w:rsidRPr="000E2659">
        <w:rPr>
          <w:b/>
          <w:bCs/>
          <w:sz w:val="28"/>
          <w:szCs w:val="28"/>
        </w:rPr>
        <w:t>La falta de transparencia en el cálculo de tarifas</w:t>
      </w:r>
    </w:p>
    <w:p w14:paraId="603A21C2" w14:textId="6EBF7A96" w:rsidR="0072097E" w:rsidRDefault="00000000">
      <w:pPr>
        <w:spacing w:line="360" w:lineRule="auto"/>
        <w:jc w:val="both"/>
      </w:pPr>
      <w:r>
        <w:t xml:space="preserve">En México, los estudios académicos sobre la regulación en materia de gas natural son escasos. Por una parte, Ramírez y Rosellón (2000) y Ortiz, Ramírez y Rosellón (2021) tienen una perspectiva </w:t>
      </w:r>
      <w:proofErr w:type="spellStart"/>
      <w:r>
        <w:t>modelística</w:t>
      </w:r>
      <w:proofErr w:type="spellEnd"/>
      <w:r>
        <w:t xml:space="preserve"> para determinar la optimalidad en materia de competencia. Por </w:t>
      </w:r>
      <w:r>
        <w:lastRenderedPageBreak/>
        <w:t xml:space="preserve">otra, </w:t>
      </w:r>
      <w:r w:rsidR="004917F9">
        <w:t xml:space="preserve">Micheli, et al. </w:t>
      </w:r>
      <w:r>
        <w:t>(2013</w:t>
      </w:r>
      <w:r w:rsidR="004917F9">
        <w:t>)</w:t>
      </w:r>
      <w:r>
        <w:t xml:space="preserve"> apunta a la descripción del mercado geográfico del gas natural y tangencialmente a su relación con la regulación. En general, se han dejado de lado temas relevantes en la corriente internacional de estudios sobre la regulación, desde la propia historia económica de esta política (</w:t>
      </w:r>
      <w:proofErr w:type="spellStart"/>
      <w:r>
        <w:t>Serrani</w:t>
      </w:r>
      <w:proofErr w:type="spellEnd"/>
      <w:r>
        <w:t>, 2020; Dammert y García, 2020), o bien la discusión de las fallas regulatorias (</w:t>
      </w:r>
      <w:proofErr w:type="spellStart"/>
      <w:r>
        <w:t>Stigler</w:t>
      </w:r>
      <w:proofErr w:type="spellEnd"/>
      <w:r>
        <w:t xml:space="preserve">, 1971; </w:t>
      </w:r>
      <w:proofErr w:type="spellStart"/>
      <w:r>
        <w:t>Laffont</w:t>
      </w:r>
      <w:proofErr w:type="spellEnd"/>
      <w:r w:rsidR="00B84C30">
        <w:t xml:space="preserve"> y </w:t>
      </w:r>
      <w:proofErr w:type="spellStart"/>
      <w:r w:rsidR="00B84C30">
        <w:t>Tirole</w:t>
      </w:r>
      <w:proofErr w:type="spellEnd"/>
      <w:r>
        <w:t xml:space="preserve">, 1991; </w:t>
      </w:r>
      <w:proofErr w:type="spellStart"/>
      <w:r>
        <w:t>Martimort</w:t>
      </w:r>
      <w:proofErr w:type="spellEnd"/>
      <w:r>
        <w:t>, 1999; Boehm, 20</w:t>
      </w:r>
      <w:r w:rsidR="00B84C30">
        <w:t>1</w:t>
      </w:r>
      <w:r>
        <w:t xml:space="preserve">5; Rodríguez, 2008; </w:t>
      </w:r>
      <w:proofErr w:type="spellStart"/>
      <w:r>
        <w:t>Lesser</w:t>
      </w:r>
      <w:proofErr w:type="spellEnd"/>
      <w:r>
        <w:t>, 2007).</w:t>
      </w:r>
    </w:p>
    <w:p w14:paraId="312DE9EB" w14:textId="77777777" w:rsidR="0072097E" w:rsidRDefault="00000000">
      <w:pPr>
        <w:spacing w:line="360" w:lineRule="auto"/>
        <w:jc w:val="both"/>
      </w:pPr>
      <w:r>
        <w:tab/>
        <w:t>El caso que se analiza en este texto es el de la regulación aplicada a la empresa cuya tarifa le fue autorizada en el año 2015 para distribuir gas natural a diversos tipos de usuarios de la Ciudad de México, tanto domésticos como de naturaleza comercial e industrial. Esta empresa pertenece a una corporación multinacional con un amplio número de empresas en el negocio de la electricidad y el gas, y su nombre se omite en este artículo. Es el principal operador de distribución de gas natural en México y cuenta con varios permisos de distribución, brindando así servicio a la capital del país y a varias ciudades más.</w:t>
      </w:r>
    </w:p>
    <w:p w14:paraId="49739910" w14:textId="77777777" w:rsidR="0072097E" w:rsidRDefault="00000000">
      <w:pPr>
        <w:spacing w:line="360" w:lineRule="auto"/>
        <w:jc w:val="both"/>
      </w:pPr>
      <w:r>
        <w:tab/>
        <w:t>El método de cálculo de las asignaciones de costos por tipo de usuario, mismas que derivan en las tarifas autorizadas a esta empresa, no es del dominio público, por lo cual no es posible emularlo y por ello se incumple con el principio de transparencia estipulado por la normatividad regulatoria en la fracción VII de la Directiva sobre la determinación de tarifas y el traslado de precios para las actividades reguladas en materia de gas natural, nombrada Directiva de Tarifas (CRE, 2007). Esta anomalía no es particular en este caso, sino también en los siguientes:</w:t>
      </w:r>
    </w:p>
    <w:p w14:paraId="72C3D998" w14:textId="77777777" w:rsidR="0072097E" w:rsidRDefault="0072097E">
      <w:pPr>
        <w:spacing w:line="360" w:lineRule="auto"/>
        <w:jc w:val="both"/>
      </w:pPr>
    </w:p>
    <w:p w14:paraId="13DD5175" w14:textId="77777777" w:rsidR="0039141E" w:rsidRDefault="0039141E">
      <w:pPr>
        <w:spacing w:line="360" w:lineRule="auto"/>
        <w:jc w:val="both"/>
      </w:pPr>
    </w:p>
    <w:p w14:paraId="60EB7B0C" w14:textId="77777777" w:rsidR="0039141E" w:rsidRDefault="0039141E">
      <w:pPr>
        <w:spacing w:line="360" w:lineRule="auto"/>
        <w:jc w:val="both"/>
      </w:pPr>
    </w:p>
    <w:p w14:paraId="58DEFC19" w14:textId="77777777" w:rsidR="0039141E" w:rsidRDefault="0039141E">
      <w:pPr>
        <w:spacing w:line="360" w:lineRule="auto"/>
        <w:jc w:val="both"/>
      </w:pPr>
    </w:p>
    <w:p w14:paraId="514EEA42" w14:textId="77777777" w:rsidR="0039141E" w:rsidRDefault="0039141E">
      <w:pPr>
        <w:spacing w:line="360" w:lineRule="auto"/>
        <w:jc w:val="both"/>
      </w:pPr>
    </w:p>
    <w:p w14:paraId="3856E20C" w14:textId="77777777" w:rsidR="00B71F87" w:rsidRDefault="00B71F87">
      <w:pPr>
        <w:spacing w:line="360" w:lineRule="auto"/>
        <w:jc w:val="both"/>
      </w:pPr>
    </w:p>
    <w:p w14:paraId="1B447464" w14:textId="77777777" w:rsidR="00B71F87" w:rsidRDefault="00B71F87">
      <w:pPr>
        <w:spacing w:line="360" w:lineRule="auto"/>
        <w:jc w:val="both"/>
      </w:pPr>
    </w:p>
    <w:p w14:paraId="11603770" w14:textId="77777777" w:rsidR="00B71F87" w:rsidRDefault="00B71F87">
      <w:pPr>
        <w:spacing w:line="360" w:lineRule="auto"/>
        <w:jc w:val="both"/>
      </w:pPr>
    </w:p>
    <w:p w14:paraId="0D5700EA" w14:textId="77777777" w:rsidR="00B71F87" w:rsidRDefault="00B71F87">
      <w:pPr>
        <w:spacing w:line="360" w:lineRule="auto"/>
        <w:jc w:val="both"/>
      </w:pPr>
    </w:p>
    <w:p w14:paraId="06229956" w14:textId="77777777" w:rsidR="0039141E" w:rsidRDefault="0039141E">
      <w:pPr>
        <w:spacing w:line="360" w:lineRule="auto"/>
        <w:jc w:val="both"/>
      </w:pPr>
    </w:p>
    <w:p w14:paraId="4515E9A7" w14:textId="77777777" w:rsidR="0039141E" w:rsidRDefault="0039141E">
      <w:pPr>
        <w:spacing w:line="360" w:lineRule="auto"/>
        <w:jc w:val="both"/>
      </w:pPr>
    </w:p>
    <w:p w14:paraId="56873E7D" w14:textId="77777777" w:rsidR="0039141E" w:rsidRDefault="0039141E">
      <w:pPr>
        <w:spacing w:line="360" w:lineRule="auto"/>
        <w:jc w:val="both"/>
      </w:pPr>
    </w:p>
    <w:p w14:paraId="30FF33C9" w14:textId="77777777" w:rsidR="0039141E" w:rsidRDefault="0039141E">
      <w:pPr>
        <w:spacing w:line="360" w:lineRule="auto"/>
        <w:jc w:val="both"/>
      </w:pPr>
    </w:p>
    <w:p w14:paraId="5E7F93CE" w14:textId="77777777" w:rsidR="0072097E" w:rsidRDefault="00000000">
      <w:pPr>
        <w:jc w:val="center"/>
        <w:rPr>
          <w:lang w:val="es-ES"/>
        </w:rPr>
      </w:pPr>
      <w:r>
        <w:rPr>
          <w:b/>
          <w:bCs/>
          <w:lang w:val="es-ES"/>
        </w:rPr>
        <w:lastRenderedPageBreak/>
        <w:t>Tabla 1.</w:t>
      </w:r>
      <w:r>
        <w:rPr>
          <w:lang w:val="es-ES"/>
        </w:rPr>
        <w:t xml:space="preserve"> Sistemas de distribución sin transparencia tarifaria</w:t>
      </w:r>
    </w:p>
    <w:tbl>
      <w:tblPr>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1418"/>
        <w:gridCol w:w="3734"/>
      </w:tblGrid>
      <w:tr w:rsidR="0072097E" w:rsidRPr="000E2659" w14:paraId="07B1B770" w14:textId="77777777" w:rsidTr="000E2659">
        <w:trPr>
          <w:trHeight w:val="191"/>
          <w:jc w:val="center"/>
        </w:trPr>
        <w:tc>
          <w:tcPr>
            <w:tcW w:w="1668" w:type="dxa"/>
            <w:shd w:val="clear" w:color="auto" w:fill="auto"/>
            <w:vAlign w:val="center"/>
          </w:tcPr>
          <w:p w14:paraId="5F561BC7" w14:textId="77777777" w:rsidR="0072097E" w:rsidRPr="000E2659" w:rsidRDefault="00000000">
            <w:pPr>
              <w:widowControl w:val="0"/>
              <w:spacing w:line="360" w:lineRule="auto"/>
              <w:jc w:val="center"/>
              <w:rPr>
                <w:strike/>
                <w:color w:val="000000"/>
              </w:rPr>
            </w:pPr>
            <w:r w:rsidRPr="000E2659">
              <w:rPr>
                <w:color w:val="000000"/>
              </w:rPr>
              <w:t>Grupo Empresarial</w:t>
            </w:r>
          </w:p>
        </w:tc>
        <w:tc>
          <w:tcPr>
            <w:tcW w:w="1418" w:type="dxa"/>
            <w:shd w:val="clear" w:color="auto" w:fill="auto"/>
            <w:vAlign w:val="center"/>
          </w:tcPr>
          <w:p w14:paraId="05748840" w14:textId="77777777" w:rsidR="0072097E" w:rsidRPr="000E2659" w:rsidRDefault="00000000">
            <w:pPr>
              <w:widowControl w:val="0"/>
              <w:spacing w:line="360" w:lineRule="auto"/>
              <w:jc w:val="center"/>
              <w:rPr>
                <w:color w:val="000000"/>
              </w:rPr>
            </w:pPr>
            <w:r w:rsidRPr="000E2659">
              <w:rPr>
                <w:color w:val="000000"/>
              </w:rPr>
              <w:t>Resolución</w:t>
            </w:r>
          </w:p>
        </w:tc>
        <w:tc>
          <w:tcPr>
            <w:tcW w:w="3734" w:type="dxa"/>
            <w:shd w:val="clear" w:color="auto" w:fill="auto"/>
            <w:vAlign w:val="center"/>
          </w:tcPr>
          <w:p w14:paraId="629BA264" w14:textId="77777777" w:rsidR="0072097E" w:rsidRPr="000E2659" w:rsidRDefault="00000000">
            <w:pPr>
              <w:widowControl w:val="0"/>
              <w:spacing w:line="360" w:lineRule="auto"/>
              <w:jc w:val="center"/>
              <w:rPr>
                <w:color w:val="000000"/>
              </w:rPr>
            </w:pPr>
            <w:r w:rsidRPr="000E2659">
              <w:rPr>
                <w:color w:val="000000"/>
              </w:rPr>
              <w:t>Zona geográfica</w:t>
            </w:r>
          </w:p>
        </w:tc>
      </w:tr>
      <w:tr w:rsidR="0072097E" w:rsidRPr="000E2659" w14:paraId="0C180999" w14:textId="77777777" w:rsidTr="000E2659">
        <w:trPr>
          <w:trHeight w:val="341"/>
          <w:jc w:val="center"/>
        </w:trPr>
        <w:tc>
          <w:tcPr>
            <w:tcW w:w="1668" w:type="dxa"/>
            <w:vMerge w:val="restart"/>
            <w:shd w:val="clear" w:color="auto" w:fill="auto"/>
            <w:vAlign w:val="center"/>
          </w:tcPr>
          <w:p w14:paraId="47D706C0" w14:textId="77777777" w:rsidR="0072097E" w:rsidRPr="000E2659" w:rsidRDefault="00000000">
            <w:pPr>
              <w:widowControl w:val="0"/>
              <w:spacing w:line="360" w:lineRule="auto"/>
              <w:rPr>
                <w:color w:val="000000"/>
              </w:rPr>
            </w:pPr>
            <w:r w:rsidRPr="000E2659">
              <w:rPr>
                <w:color w:val="000000"/>
              </w:rPr>
              <w:t>A</w:t>
            </w:r>
          </w:p>
        </w:tc>
        <w:tc>
          <w:tcPr>
            <w:tcW w:w="1418" w:type="dxa"/>
            <w:shd w:val="clear" w:color="auto" w:fill="auto"/>
            <w:vAlign w:val="center"/>
          </w:tcPr>
          <w:p w14:paraId="1F2ABD08" w14:textId="77777777" w:rsidR="0072097E" w:rsidRPr="000E2659" w:rsidRDefault="00000000">
            <w:pPr>
              <w:widowControl w:val="0"/>
              <w:spacing w:line="360" w:lineRule="auto"/>
              <w:rPr>
                <w:color w:val="000000"/>
              </w:rPr>
            </w:pPr>
            <w:r w:rsidRPr="000E2659">
              <w:rPr>
                <w:color w:val="000000"/>
              </w:rPr>
              <w:t>RES/1745/2016</w:t>
            </w:r>
          </w:p>
        </w:tc>
        <w:tc>
          <w:tcPr>
            <w:tcW w:w="3734" w:type="dxa"/>
            <w:shd w:val="clear" w:color="auto" w:fill="auto"/>
            <w:vAlign w:val="center"/>
          </w:tcPr>
          <w:p w14:paraId="45A2A81C" w14:textId="77777777" w:rsidR="0072097E" w:rsidRPr="000E2659" w:rsidRDefault="00000000">
            <w:pPr>
              <w:widowControl w:val="0"/>
              <w:spacing w:line="360" w:lineRule="auto"/>
              <w:rPr>
                <w:color w:val="000000"/>
              </w:rPr>
            </w:pPr>
            <w:r w:rsidRPr="000E2659">
              <w:rPr>
                <w:color w:val="000000"/>
              </w:rPr>
              <w:t>Valle Cuautitlán, Texcoco, Hidalgo</w:t>
            </w:r>
          </w:p>
        </w:tc>
      </w:tr>
      <w:tr w:rsidR="0072097E" w:rsidRPr="000E2659" w14:paraId="6094E9DB" w14:textId="77777777" w:rsidTr="000E2659">
        <w:trPr>
          <w:trHeight w:val="341"/>
          <w:jc w:val="center"/>
        </w:trPr>
        <w:tc>
          <w:tcPr>
            <w:tcW w:w="1668" w:type="dxa"/>
            <w:vMerge/>
            <w:vAlign w:val="center"/>
          </w:tcPr>
          <w:p w14:paraId="1134FABE" w14:textId="77777777" w:rsidR="0072097E" w:rsidRPr="000E2659" w:rsidRDefault="0072097E">
            <w:pPr>
              <w:widowControl w:val="0"/>
              <w:spacing w:line="360" w:lineRule="auto"/>
              <w:rPr>
                <w:color w:val="000000"/>
              </w:rPr>
            </w:pPr>
          </w:p>
        </w:tc>
        <w:tc>
          <w:tcPr>
            <w:tcW w:w="1418" w:type="dxa"/>
            <w:shd w:val="clear" w:color="auto" w:fill="auto"/>
            <w:vAlign w:val="center"/>
          </w:tcPr>
          <w:p w14:paraId="3883FB6E" w14:textId="77777777" w:rsidR="0072097E" w:rsidRPr="000E2659" w:rsidRDefault="00000000">
            <w:pPr>
              <w:widowControl w:val="0"/>
              <w:spacing w:line="360" w:lineRule="auto"/>
              <w:rPr>
                <w:color w:val="000000"/>
              </w:rPr>
            </w:pPr>
            <w:r w:rsidRPr="000E2659">
              <w:rPr>
                <w:color w:val="000000"/>
              </w:rPr>
              <w:t>RES/2948/2017</w:t>
            </w:r>
          </w:p>
        </w:tc>
        <w:tc>
          <w:tcPr>
            <w:tcW w:w="3734" w:type="dxa"/>
            <w:shd w:val="clear" w:color="auto" w:fill="auto"/>
            <w:vAlign w:val="center"/>
          </w:tcPr>
          <w:p w14:paraId="3A516B7A" w14:textId="77777777" w:rsidR="0072097E" w:rsidRPr="000E2659" w:rsidRDefault="00000000">
            <w:pPr>
              <w:widowControl w:val="0"/>
              <w:spacing w:line="360" w:lineRule="auto"/>
              <w:rPr>
                <w:color w:val="000000"/>
              </w:rPr>
            </w:pPr>
            <w:r w:rsidRPr="000E2659">
              <w:rPr>
                <w:color w:val="000000"/>
              </w:rPr>
              <w:t>Querétaro</w:t>
            </w:r>
          </w:p>
        </w:tc>
      </w:tr>
      <w:tr w:rsidR="0072097E" w:rsidRPr="000E2659" w14:paraId="71AC1C69" w14:textId="77777777" w:rsidTr="000E2659">
        <w:trPr>
          <w:trHeight w:val="341"/>
          <w:jc w:val="center"/>
        </w:trPr>
        <w:tc>
          <w:tcPr>
            <w:tcW w:w="1668" w:type="dxa"/>
            <w:vMerge/>
            <w:vAlign w:val="center"/>
          </w:tcPr>
          <w:p w14:paraId="4BDC5BC9" w14:textId="77777777" w:rsidR="0072097E" w:rsidRPr="000E2659" w:rsidRDefault="0072097E">
            <w:pPr>
              <w:widowControl w:val="0"/>
              <w:spacing w:line="360" w:lineRule="auto"/>
              <w:rPr>
                <w:color w:val="000000"/>
              </w:rPr>
            </w:pPr>
          </w:p>
        </w:tc>
        <w:tc>
          <w:tcPr>
            <w:tcW w:w="1418" w:type="dxa"/>
            <w:shd w:val="clear" w:color="auto" w:fill="auto"/>
            <w:vAlign w:val="center"/>
          </w:tcPr>
          <w:p w14:paraId="5FBA1711" w14:textId="77777777" w:rsidR="0072097E" w:rsidRPr="000E2659" w:rsidRDefault="00000000">
            <w:pPr>
              <w:widowControl w:val="0"/>
              <w:spacing w:line="360" w:lineRule="auto"/>
              <w:rPr>
                <w:color w:val="000000"/>
              </w:rPr>
            </w:pPr>
            <w:r w:rsidRPr="000E2659">
              <w:rPr>
                <w:color w:val="000000"/>
              </w:rPr>
              <w:t>RES/1744/2016</w:t>
            </w:r>
          </w:p>
        </w:tc>
        <w:tc>
          <w:tcPr>
            <w:tcW w:w="3734" w:type="dxa"/>
            <w:shd w:val="clear" w:color="auto" w:fill="auto"/>
            <w:vAlign w:val="center"/>
          </w:tcPr>
          <w:p w14:paraId="0113DA58" w14:textId="77777777" w:rsidR="0072097E" w:rsidRPr="000E2659" w:rsidRDefault="00000000">
            <w:pPr>
              <w:widowControl w:val="0"/>
              <w:spacing w:line="360" w:lineRule="auto"/>
              <w:rPr>
                <w:color w:val="000000"/>
              </w:rPr>
            </w:pPr>
            <w:r w:rsidRPr="000E2659">
              <w:rPr>
                <w:color w:val="000000"/>
              </w:rPr>
              <w:t>Río Pánuco</w:t>
            </w:r>
          </w:p>
        </w:tc>
      </w:tr>
      <w:tr w:rsidR="0072097E" w:rsidRPr="000E2659" w14:paraId="6EC5E915" w14:textId="77777777" w:rsidTr="000E2659">
        <w:trPr>
          <w:trHeight w:val="341"/>
          <w:jc w:val="center"/>
        </w:trPr>
        <w:tc>
          <w:tcPr>
            <w:tcW w:w="1668" w:type="dxa"/>
            <w:vMerge/>
            <w:vAlign w:val="center"/>
          </w:tcPr>
          <w:p w14:paraId="72CADC0F" w14:textId="77777777" w:rsidR="0072097E" w:rsidRPr="000E2659" w:rsidRDefault="0072097E">
            <w:pPr>
              <w:widowControl w:val="0"/>
              <w:spacing w:line="360" w:lineRule="auto"/>
              <w:rPr>
                <w:color w:val="000000"/>
              </w:rPr>
            </w:pPr>
          </w:p>
        </w:tc>
        <w:tc>
          <w:tcPr>
            <w:tcW w:w="1418" w:type="dxa"/>
            <w:shd w:val="clear" w:color="auto" w:fill="auto"/>
            <w:vAlign w:val="center"/>
          </w:tcPr>
          <w:p w14:paraId="6B6910D3" w14:textId="77777777" w:rsidR="0072097E" w:rsidRPr="000E2659" w:rsidRDefault="00000000">
            <w:pPr>
              <w:widowControl w:val="0"/>
              <w:spacing w:line="360" w:lineRule="auto"/>
              <w:rPr>
                <w:color w:val="000000"/>
              </w:rPr>
            </w:pPr>
            <w:r w:rsidRPr="000E2659">
              <w:rPr>
                <w:color w:val="000000"/>
              </w:rPr>
              <w:t>RES/1746/2016</w:t>
            </w:r>
          </w:p>
        </w:tc>
        <w:tc>
          <w:tcPr>
            <w:tcW w:w="3734" w:type="dxa"/>
            <w:shd w:val="clear" w:color="auto" w:fill="auto"/>
            <w:vAlign w:val="center"/>
          </w:tcPr>
          <w:p w14:paraId="38B765B7" w14:textId="77777777" w:rsidR="0072097E" w:rsidRPr="000E2659" w:rsidRDefault="00000000">
            <w:pPr>
              <w:widowControl w:val="0"/>
              <w:spacing w:line="360" w:lineRule="auto"/>
              <w:rPr>
                <w:color w:val="000000"/>
              </w:rPr>
            </w:pPr>
            <w:r w:rsidRPr="000E2659">
              <w:rPr>
                <w:color w:val="000000"/>
              </w:rPr>
              <w:t>Puebla, Tlaxcala</w:t>
            </w:r>
          </w:p>
        </w:tc>
      </w:tr>
      <w:tr w:rsidR="0072097E" w:rsidRPr="000E2659" w14:paraId="0E555E8A" w14:textId="77777777" w:rsidTr="000E2659">
        <w:trPr>
          <w:trHeight w:val="341"/>
          <w:jc w:val="center"/>
        </w:trPr>
        <w:tc>
          <w:tcPr>
            <w:tcW w:w="1668" w:type="dxa"/>
            <w:vMerge/>
            <w:vAlign w:val="center"/>
          </w:tcPr>
          <w:p w14:paraId="398BAF09" w14:textId="77777777" w:rsidR="0072097E" w:rsidRPr="000E2659" w:rsidRDefault="0072097E">
            <w:pPr>
              <w:widowControl w:val="0"/>
              <w:spacing w:line="360" w:lineRule="auto"/>
              <w:rPr>
                <w:color w:val="000000"/>
              </w:rPr>
            </w:pPr>
          </w:p>
        </w:tc>
        <w:tc>
          <w:tcPr>
            <w:tcW w:w="1418" w:type="dxa"/>
            <w:shd w:val="clear" w:color="auto" w:fill="auto"/>
            <w:vAlign w:val="center"/>
          </w:tcPr>
          <w:p w14:paraId="3EC6AF08" w14:textId="77777777" w:rsidR="0072097E" w:rsidRPr="000E2659" w:rsidRDefault="00000000">
            <w:pPr>
              <w:widowControl w:val="0"/>
              <w:spacing w:line="360" w:lineRule="auto"/>
              <w:rPr>
                <w:color w:val="000000"/>
              </w:rPr>
            </w:pPr>
            <w:r w:rsidRPr="000E2659">
              <w:rPr>
                <w:color w:val="000000"/>
              </w:rPr>
              <w:t>RES/187/2018</w:t>
            </w:r>
          </w:p>
        </w:tc>
        <w:tc>
          <w:tcPr>
            <w:tcW w:w="3734" w:type="dxa"/>
            <w:shd w:val="clear" w:color="auto" w:fill="auto"/>
            <w:vAlign w:val="center"/>
          </w:tcPr>
          <w:p w14:paraId="673599AD" w14:textId="77777777" w:rsidR="0072097E" w:rsidRPr="000E2659" w:rsidRDefault="00000000">
            <w:pPr>
              <w:widowControl w:val="0"/>
              <w:spacing w:line="360" w:lineRule="auto"/>
              <w:rPr>
                <w:color w:val="000000"/>
              </w:rPr>
            </w:pPr>
            <w:r w:rsidRPr="000E2659">
              <w:rPr>
                <w:color w:val="000000"/>
              </w:rPr>
              <w:t>Guadalajara</w:t>
            </w:r>
          </w:p>
        </w:tc>
      </w:tr>
      <w:tr w:rsidR="0072097E" w:rsidRPr="000E2659" w14:paraId="75CAD146" w14:textId="77777777" w:rsidTr="000E2659">
        <w:trPr>
          <w:trHeight w:val="341"/>
          <w:jc w:val="center"/>
        </w:trPr>
        <w:tc>
          <w:tcPr>
            <w:tcW w:w="1668" w:type="dxa"/>
            <w:vMerge/>
            <w:vAlign w:val="center"/>
          </w:tcPr>
          <w:p w14:paraId="7C187BB1" w14:textId="77777777" w:rsidR="0072097E" w:rsidRPr="000E2659" w:rsidRDefault="0072097E">
            <w:pPr>
              <w:widowControl w:val="0"/>
              <w:spacing w:line="360" w:lineRule="auto"/>
              <w:rPr>
                <w:color w:val="000000"/>
              </w:rPr>
            </w:pPr>
          </w:p>
        </w:tc>
        <w:tc>
          <w:tcPr>
            <w:tcW w:w="1418" w:type="dxa"/>
            <w:shd w:val="clear" w:color="auto" w:fill="auto"/>
            <w:vAlign w:val="center"/>
          </w:tcPr>
          <w:p w14:paraId="524E31E8" w14:textId="77777777" w:rsidR="0072097E" w:rsidRPr="000E2659" w:rsidRDefault="00000000">
            <w:pPr>
              <w:widowControl w:val="0"/>
              <w:spacing w:line="360" w:lineRule="auto"/>
              <w:rPr>
                <w:color w:val="000000"/>
              </w:rPr>
            </w:pPr>
            <w:r w:rsidRPr="000E2659">
              <w:rPr>
                <w:color w:val="000000"/>
              </w:rPr>
              <w:t>RES/109/2016</w:t>
            </w:r>
          </w:p>
        </w:tc>
        <w:tc>
          <w:tcPr>
            <w:tcW w:w="3734" w:type="dxa"/>
            <w:shd w:val="clear" w:color="auto" w:fill="auto"/>
            <w:vAlign w:val="center"/>
          </w:tcPr>
          <w:p w14:paraId="1CDD6DD2" w14:textId="77777777" w:rsidR="0072097E" w:rsidRPr="000E2659" w:rsidRDefault="00000000">
            <w:pPr>
              <w:widowControl w:val="0"/>
              <w:spacing w:line="360" w:lineRule="auto"/>
              <w:rPr>
                <w:color w:val="000000"/>
              </w:rPr>
            </w:pPr>
            <w:r w:rsidRPr="000E2659">
              <w:rPr>
                <w:color w:val="000000"/>
              </w:rPr>
              <w:t>Norte de Tamaulipas</w:t>
            </w:r>
          </w:p>
        </w:tc>
      </w:tr>
      <w:tr w:rsidR="0072097E" w:rsidRPr="000E2659" w14:paraId="7BBCC2B9" w14:textId="77777777" w:rsidTr="000E2659">
        <w:trPr>
          <w:trHeight w:val="341"/>
          <w:jc w:val="center"/>
        </w:trPr>
        <w:tc>
          <w:tcPr>
            <w:tcW w:w="1668" w:type="dxa"/>
            <w:vMerge/>
            <w:vAlign w:val="center"/>
          </w:tcPr>
          <w:p w14:paraId="00CB6F48" w14:textId="77777777" w:rsidR="0072097E" w:rsidRPr="000E2659" w:rsidRDefault="0072097E">
            <w:pPr>
              <w:widowControl w:val="0"/>
              <w:spacing w:line="360" w:lineRule="auto"/>
              <w:rPr>
                <w:color w:val="000000"/>
              </w:rPr>
            </w:pPr>
          </w:p>
        </w:tc>
        <w:tc>
          <w:tcPr>
            <w:tcW w:w="1418" w:type="dxa"/>
            <w:shd w:val="clear" w:color="auto" w:fill="auto"/>
            <w:vAlign w:val="center"/>
          </w:tcPr>
          <w:p w14:paraId="1778D295" w14:textId="77777777" w:rsidR="0072097E" w:rsidRPr="000E2659" w:rsidRDefault="0072097E">
            <w:pPr>
              <w:widowControl w:val="0"/>
              <w:spacing w:line="360" w:lineRule="auto"/>
              <w:rPr>
                <w:color w:val="000000"/>
              </w:rPr>
            </w:pPr>
          </w:p>
        </w:tc>
        <w:tc>
          <w:tcPr>
            <w:tcW w:w="3734" w:type="dxa"/>
            <w:shd w:val="clear" w:color="auto" w:fill="auto"/>
            <w:vAlign w:val="center"/>
          </w:tcPr>
          <w:p w14:paraId="1133652A" w14:textId="77777777" w:rsidR="0072097E" w:rsidRPr="000E2659" w:rsidRDefault="0072097E">
            <w:pPr>
              <w:widowControl w:val="0"/>
              <w:spacing w:line="360" w:lineRule="auto"/>
              <w:rPr>
                <w:color w:val="000000"/>
              </w:rPr>
            </w:pPr>
          </w:p>
        </w:tc>
      </w:tr>
      <w:tr w:rsidR="0072097E" w:rsidRPr="000E2659" w14:paraId="4CFCE42B" w14:textId="77777777" w:rsidTr="000E2659">
        <w:trPr>
          <w:trHeight w:val="341"/>
          <w:jc w:val="center"/>
        </w:trPr>
        <w:tc>
          <w:tcPr>
            <w:tcW w:w="1668" w:type="dxa"/>
            <w:vMerge w:val="restart"/>
            <w:shd w:val="clear" w:color="auto" w:fill="auto"/>
            <w:vAlign w:val="center"/>
          </w:tcPr>
          <w:p w14:paraId="13874030" w14:textId="77777777" w:rsidR="0072097E" w:rsidRPr="000E2659" w:rsidRDefault="00000000">
            <w:pPr>
              <w:widowControl w:val="0"/>
              <w:spacing w:line="360" w:lineRule="auto"/>
              <w:rPr>
                <w:color w:val="000000"/>
              </w:rPr>
            </w:pPr>
            <w:r w:rsidRPr="000E2659">
              <w:rPr>
                <w:color w:val="000000"/>
              </w:rPr>
              <w:t>B</w:t>
            </w:r>
          </w:p>
        </w:tc>
        <w:tc>
          <w:tcPr>
            <w:tcW w:w="1418" w:type="dxa"/>
            <w:shd w:val="clear" w:color="auto" w:fill="auto"/>
            <w:vAlign w:val="center"/>
          </w:tcPr>
          <w:p w14:paraId="46B62ECE" w14:textId="77777777" w:rsidR="0072097E" w:rsidRPr="000E2659" w:rsidRDefault="00000000">
            <w:pPr>
              <w:widowControl w:val="0"/>
              <w:spacing w:line="360" w:lineRule="auto"/>
              <w:rPr>
                <w:color w:val="000000"/>
              </w:rPr>
            </w:pPr>
            <w:r w:rsidRPr="000E2659">
              <w:rPr>
                <w:color w:val="000000"/>
              </w:rPr>
              <w:t>RES/089/2016</w:t>
            </w:r>
          </w:p>
        </w:tc>
        <w:tc>
          <w:tcPr>
            <w:tcW w:w="3734" w:type="dxa"/>
            <w:shd w:val="clear" w:color="auto" w:fill="auto"/>
            <w:vAlign w:val="center"/>
          </w:tcPr>
          <w:p w14:paraId="562E659C" w14:textId="77777777" w:rsidR="0072097E" w:rsidRPr="000E2659" w:rsidRDefault="00000000">
            <w:pPr>
              <w:widowControl w:val="0"/>
              <w:spacing w:line="360" w:lineRule="auto"/>
              <w:rPr>
                <w:color w:val="000000"/>
              </w:rPr>
            </w:pPr>
            <w:r w:rsidRPr="000E2659">
              <w:rPr>
                <w:color w:val="000000"/>
              </w:rPr>
              <w:t>La Laguna</w:t>
            </w:r>
          </w:p>
        </w:tc>
      </w:tr>
      <w:tr w:rsidR="0072097E" w:rsidRPr="000E2659" w14:paraId="2DDFD77D" w14:textId="77777777" w:rsidTr="000E2659">
        <w:trPr>
          <w:trHeight w:val="341"/>
          <w:jc w:val="center"/>
        </w:trPr>
        <w:tc>
          <w:tcPr>
            <w:tcW w:w="1668" w:type="dxa"/>
            <w:vMerge/>
            <w:vAlign w:val="center"/>
          </w:tcPr>
          <w:p w14:paraId="1CCA1EF0" w14:textId="77777777" w:rsidR="0072097E" w:rsidRPr="000E2659" w:rsidRDefault="0072097E">
            <w:pPr>
              <w:widowControl w:val="0"/>
              <w:spacing w:line="360" w:lineRule="auto"/>
              <w:rPr>
                <w:color w:val="000000"/>
              </w:rPr>
            </w:pPr>
          </w:p>
        </w:tc>
        <w:tc>
          <w:tcPr>
            <w:tcW w:w="1418" w:type="dxa"/>
            <w:shd w:val="clear" w:color="auto" w:fill="auto"/>
            <w:vAlign w:val="center"/>
          </w:tcPr>
          <w:p w14:paraId="1111A473" w14:textId="77777777" w:rsidR="0072097E" w:rsidRPr="000E2659" w:rsidRDefault="00000000">
            <w:pPr>
              <w:widowControl w:val="0"/>
              <w:spacing w:line="360" w:lineRule="auto"/>
              <w:rPr>
                <w:color w:val="000000"/>
              </w:rPr>
            </w:pPr>
            <w:r w:rsidRPr="000E2659">
              <w:rPr>
                <w:color w:val="000000"/>
              </w:rPr>
              <w:t>RES/090/2016</w:t>
            </w:r>
          </w:p>
        </w:tc>
        <w:tc>
          <w:tcPr>
            <w:tcW w:w="3734" w:type="dxa"/>
            <w:shd w:val="clear" w:color="auto" w:fill="auto"/>
            <w:vAlign w:val="center"/>
          </w:tcPr>
          <w:p w14:paraId="6CDE7949" w14:textId="77777777" w:rsidR="0072097E" w:rsidRPr="000E2659" w:rsidRDefault="00000000">
            <w:pPr>
              <w:widowControl w:val="0"/>
              <w:spacing w:line="360" w:lineRule="auto"/>
              <w:rPr>
                <w:color w:val="000000"/>
              </w:rPr>
            </w:pPr>
            <w:r w:rsidRPr="000E2659">
              <w:rPr>
                <w:color w:val="000000"/>
              </w:rPr>
              <w:t>Mexicali</w:t>
            </w:r>
          </w:p>
        </w:tc>
      </w:tr>
      <w:tr w:rsidR="0072097E" w:rsidRPr="000E2659" w14:paraId="2D18C1D4" w14:textId="77777777" w:rsidTr="000E2659">
        <w:trPr>
          <w:trHeight w:val="321"/>
          <w:jc w:val="center"/>
        </w:trPr>
        <w:tc>
          <w:tcPr>
            <w:tcW w:w="1668" w:type="dxa"/>
            <w:vMerge/>
            <w:vAlign w:val="center"/>
          </w:tcPr>
          <w:p w14:paraId="7F5A9486" w14:textId="77777777" w:rsidR="0072097E" w:rsidRPr="000E2659" w:rsidRDefault="0072097E">
            <w:pPr>
              <w:widowControl w:val="0"/>
              <w:spacing w:line="360" w:lineRule="auto"/>
              <w:rPr>
                <w:color w:val="000000"/>
              </w:rPr>
            </w:pPr>
          </w:p>
        </w:tc>
        <w:tc>
          <w:tcPr>
            <w:tcW w:w="1418" w:type="dxa"/>
            <w:shd w:val="clear" w:color="auto" w:fill="auto"/>
            <w:vAlign w:val="center"/>
          </w:tcPr>
          <w:p w14:paraId="5100C8C6" w14:textId="77777777" w:rsidR="0072097E" w:rsidRPr="000E2659" w:rsidRDefault="00000000">
            <w:pPr>
              <w:widowControl w:val="0"/>
              <w:spacing w:line="360" w:lineRule="auto"/>
              <w:rPr>
                <w:color w:val="000000"/>
              </w:rPr>
            </w:pPr>
            <w:r w:rsidRPr="000E2659">
              <w:rPr>
                <w:color w:val="000000"/>
              </w:rPr>
              <w:t>RES/088/2016</w:t>
            </w:r>
          </w:p>
        </w:tc>
        <w:tc>
          <w:tcPr>
            <w:tcW w:w="3734" w:type="dxa"/>
            <w:shd w:val="clear" w:color="auto" w:fill="auto"/>
            <w:vAlign w:val="center"/>
          </w:tcPr>
          <w:p w14:paraId="26232395" w14:textId="77777777" w:rsidR="0072097E" w:rsidRPr="000E2659" w:rsidRDefault="00000000">
            <w:pPr>
              <w:widowControl w:val="0"/>
              <w:spacing w:line="360" w:lineRule="auto"/>
              <w:rPr>
                <w:color w:val="000000"/>
              </w:rPr>
            </w:pPr>
            <w:r w:rsidRPr="000E2659">
              <w:rPr>
                <w:color w:val="000000"/>
              </w:rPr>
              <w:t xml:space="preserve">Chihuahua, </w:t>
            </w:r>
            <w:proofErr w:type="spellStart"/>
            <w:r w:rsidRPr="000E2659">
              <w:rPr>
                <w:color w:val="000000"/>
              </w:rPr>
              <w:t>Cuahutémoc</w:t>
            </w:r>
            <w:proofErr w:type="spellEnd"/>
            <w:r w:rsidRPr="000E2659">
              <w:rPr>
                <w:color w:val="000000"/>
              </w:rPr>
              <w:t xml:space="preserve"> Anáhuac y Delicias</w:t>
            </w:r>
          </w:p>
        </w:tc>
      </w:tr>
      <w:tr w:rsidR="0072097E" w:rsidRPr="000E2659" w14:paraId="2C1C751C" w14:textId="77777777" w:rsidTr="000E2659">
        <w:trPr>
          <w:trHeight w:val="321"/>
          <w:jc w:val="center"/>
        </w:trPr>
        <w:tc>
          <w:tcPr>
            <w:tcW w:w="1668" w:type="dxa"/>
            <w:vMerge/>
            <w:vAlign w:val="center"/>
          </w:tcPr>
          <w:p w14:paraId="29D0AC6C" w14:textId="77777777" w:rsidR="0072097E" w:rsidRPr="000E2659" w:rsidRDefault="0072097E">
            <w:pPr>
              <w:widowControl w:val="0"/>
              <w:spacing w:line="360" w:lineRule="auto"/>
              <w:rPr>
                <w:color w:val="000000"/>
              </w:rPr>
            </w:pPr>
          </w:p>
        </w:tc>
        <w:tc>
          <w:tcPr>
            <w:tcW w:w="1418" w:type="dxa"/>
            <w:shd w:val="clear" w:color="auto" w:fill="auto"/>
            <w:vAlign w:val="center"/>
          </w:tcPr>
          <w:p w14:paraId="45736CDF" w14:textId="77777777" w:rsidR="0072097E" w:rsidRPr="000E2659" w:rsidRDefault="0072097E">
            <w:pPr>
              <w:widowControl w:val="0"/>
              <w:spacing w:line="360" w:lineRule="auto"/>
              <w:rPr>
                <w:color w:val="000000"/>
              </w:rPr>
            </w:pPr>
          </w:p>
        </w:tc>
        <w:tc>
          <w:tcPr>
            <w:tcW w:w="3734" w:type="dxa"/>
            <w:shd w:val="clear" w:color="auto" w:fill="auto"/>
            <w:vAlign w:val="center"/>
          </w:tcPr>
          <w:p w14:paraId="78248558" w14:textId="77777777" w:rsidR="0072097E" w:rsidRPr="000E2659" w:rsidRDefault="0072097E">
            <w:pPr>
              <w:widowControl w:val="0"/>
              <w:spacing w:line="360" w:lineRule="auto"/>
              <w:rPr>
                <w:color w:val="000000"/>
              </w:rPr>
            </w:pPr>
          </w:p>
        </w:tc>
      </w:tr>
      <w:tr w:rsidR="0072097E" w:rsidRPr="000E2659" w14:paraId="5283A59E" w14:textId="77777777" w:rsidTr="000E2659">
        <w:trPr>
          <w:trHeight w:val="341"/>
          <w:jc w:val="center"/>
        </w:trPr>
        <w:tc>
          <w:tcPr>
            <w:tcW w:w="1668" w:type="dxa"/>
            <w:vMerge w:val="restart"/>
            <w:shd w:val="clear" w:color="auto" w:fill="auto"/>
            <w:vAlign w:val="center"/>
          </w:tcPr>
          <w:p w14:paraId="5AC57BA0" w14:textId="77777777" w:rsidR="0072097E" w:rsidRPr="000E2659" w:rsidRDefault="00000000">
            <w:pPr>
              <w:widowControl w:val="0"/>
              <w:spacing w:line="360" w:lineRule="auto"/>
              <w:rPr>
                <w:color w:val="000000"/>
              </w:rPr>
            </w:pPr>
            <w:r w:rsidRPr="000E2659">
              <w:rPr>
                <w:color w:val="000000"/>
              </w:rPr>
              <w:t>C</w:t>
            </w:r>
          </w:p>
        </w:tc>
        <w:tc>
          <w:tcPr>
            <w:tcW w:w="1418" w:type="dxa"/>
            <w:shd w:val="clear" w:color="auto" w:fill="auto"/>
            <w:vAlign w:val="center"/>
          </w:tcPr>
          <w:p w14:paraId="65249BC3" w14:textId="77777777" w:rsidR="0072097E" w:rsidRPr="000E2659" w:rsidRDefault="00000000">
            <w:pPr>
              <w:widowControl w:val="0"/>
              <w:spacing w:line="360" w:lineRule="auto"/>
              <w:rPr>
                <w:color w:val="000000"/>
              </w:rPr>
            </w:pPr>
            <w:r w:rsidRPr="000E2659">
              <w:rPr>
                <w:color w:val="000000"/>
              </w:rPr>
              <w:t>RES/055/2016</w:t>
            </w:r>
          </w:p>
        </w:tc>
        <w:tc>
          <w:tcPr>
            <w:tcW w:w="3734" w:type="dxa"/>
            <w:shd w:val="clear" w:color="auto" w:fill="auto"/>
            <w:vAlign w:val="center"/>
          </w:tcPr>
          <w:p w14:paraId="48788498" w14:textId="77777777" w:rsidR="0072097E" w:rsidRPr="000E2659" w:rsidRDefault="00000000">
            <w:pPr>
              <w:widowControl w:val="0"/>
              <w:spacing w:line="360" w:lineRule="auto"/>
              <w:rPr>
                <w:color w:val="000000"/>
              </w:rPr>
            </w:pPr>
            <w:r w:rsidRPr="000E2659">
              <w:rPr>
                <w:color w:val="000000"/>
              </w:rPr>
              <w:t>Ciudad de México</w:t>
            </w:r>
          </w:p>
        </w:tc>
      </w:tr>
      <w:tr w:rsidR="0072097E" w:rsidRPr="000E2659" w14:paraId="38F3F591" w14:textId="77777777" w:rsidTr="000E2659">
        <w:trPr>
          <w:trHeight w:val="341"/>
          <w:jc w:val="center"/>
        </w:trPr>
        <w:tc>
          <w:tcPr>
            <w:tcW w:w="1668" w:type="dxa"/>
            <w:vMerge/>
            <w:vAlign w:val="center"/>
          </w:tcPr>
          <w:p w14:paraId="1F75758B" w14:textId="77777777" w:rsidR="0072097E" w:rsidRPr="000E2659" w:rsidRDefault="0072097E">
            <w:pPr>
              <w:widowControl w:val="0"/>
              <w:spacing w:line="360" w:lineRule="auto"/>
              <w:rPr>
                <w:color w:val="000000"/>
              </w:rPr>
            </w:pPr>
          </w:p>
        </w:tc>
        <w:tc>
          <w:tcPr>
            <w:tcW w:w="1418" w:type="dxa"/>
            <w:shd w:val="clear" w:color="auto" w:fill="auto"/>
            <w:vAlign w:val="center"/>
          </w:tcPr>
          <w:p w14:paraId="782B127C" w14:textId="77777777" w:rsidR="0072097E" w:rsidRPr="000E2659" w:rsidRDefault="00000000">
            <w:pPr>
              <w:widowControl w:val="0"/>
              <w:spacing w:line="360" w:lineRule="auto"/>
              <w:rPr>
                <w:color w:val="000000"/>
              </w:rPr>
            </w:pPr>
            <w:r w:rsidRPr="000E2659">
              <w:rPr>
                <w:color w:val="000000"/>
              </w:rPr>
              <w:t>RES/051/2016</w:t>
            </w:r>
          </w:p>
        </w:tc>
        <w:tc>
          <w:tcPr>
            <w:tcW w:w="3734" w:type="dxa"/>
            <w:shd w:val="clear" w:color="auto" w:fill="auto"/>
            <w:vAlign w:val="center"/>
          </w:tcPr>
          <w:p w14:paraId="277119B5" w14:textId="77777777" w:rsidR="0072097E" w:rsidRPr="000E2659" w:rsidRDefault="00000000">
            <w:pPr>
              <w:widowControl w:val="0"/>
              <w:spacing w:line="360" w:lineRule="auto"/>
              <w:rPr>
                <w:color w:val="000000"/>
              </w:rPr>
            </w:pPr>
            <w:r w:rsidRPr="000E2659">
              <w:rPr>
                <w:color w:val="000000"/>
              </w:rPr>
              <w:t>Nuevo Laredo</w:t>
            </w:r>
          </w:p>
        </w:tc>
      </w:tr>
      <w:tr w:rsidR="0072097E" w:rsidRPr="000E2659" w14:paraId="0A9A7A8E" w14:textId="77777777" w:rsidTr="000E2659">
        <w:trPr>
          <w:trHeight w:val="341"/>
          <w:jc w:val="center"/>
        </w:trPr>
        <w:tc>
          <w:tcPr>
            <w:tcW w:w="1668" w:type="dxa"/>
            <w:vMerge/>
            <w:vAlign w:val="center"/>
          </w:tcPr>
          <w:p w14:paraId="02209A17" w14:textId="77777777" w:rsidR="0072097E" w:rsidRPr="000E2659" w:rsidRDefault="0072097E">
            <w:pPr>
              <w:widowControl w:val="0"/>
              <w:spacing w:line="360" w:lineRule="auto"/>
              <w:rPr>
                <w:color w:val="000000"/>
              </w:rPr>
            </w:pPr>
          </w:p>
        </w:tc>
        <w:tc>
          <w:tcPr>
            <w:tcW w:w="1418" w:type="dxa"/>
            <w:shd w:val="clear" w:color="auto" w:fill="auto"/>
            <w:vAlign w:val="center"/>
          </w:tcPr>
          <w:p w14:paraId="37C412BD" w14:textId="77777777" w:rsidR="0072097E" w:rsidRPr="000E2659" w:rsidRDefault="00000000">
            <w:pPr>
              <w:widowControl w:val="0"/>
              <w:spacing w:line="360" w:lineRule="auto"/>
              <w:rPr>
                <w:color w:val="000000"/>
              </w:rPr>
            </w:pPr>
            <w:r w:rsidRPr="000E2659">
              <w:rPr>
                <w:color w:val="000000"/>
              </w:rPr>
              <w:t>RES/053/2016</w:t>
            </w:r>
          </w:p>
        </w:tc>
        <w:tc>
          <w:tcPr>
            <w:tcW w:w="3734" w:type="dxa"/>
            <w:shd w:val="clear" w:color="auto" w:fill="auto"/>
            <w:vAlign w:val="center"/>
          </w:tcPr>
          <w:p w14:paraId="780FA0D8" w14:textId="77777777" w:rsidR="0072097E" w:rsidRPr="000E2659" w:rsidRDefault="00000000">
            <w:pPr>
              <w:widowControl w:val="0"/>
              <w:spacing w:line="360" w:lineRule="auto"/>
              <w:rPr>
                <w:color w:val="000000"/>
              </w:rPr>
            </w:pPr>
            <w:r w:rsidRPr="000E2659">
              <w:rPr>
                <w:color w:val="000000"/>
              </w:rPr>
              <w:t>Monterrey</w:t>
            </w:r>
          </w:p>
        </w:tc>
      </w:tr>
      <w:tr w:rsidR="0072097E" w:rsidRPr="000E2659" w14:paraId="505EA7D3" w14:textId="77777777" w:rsidTr="000E2659">
        <w:trPr>
          <w:trHeight w:val="341"/>
          <w:jc w:val="center"/>
        </w:trPr>
        <w:tc>
          <w:tcPr>
            <w:tcW w:w="1668" w:type="dxa"/>
            <w:vMerge/>
            <w:vAlign w:val="center"/>
          </w:tcPr>
          <w:p w14:paraId="635C4544" w14:textId="77777777" w:rsidR="0072097E" w:rsidRPr="000E2659" w:rsidRDefault="0072097E">
            <w:pPr>
              <w:widowControl w:val="0"/>
              <w:spacing w:line="360" w:lineRule="auto"/>
              <w:rPr>
                <w:color w:val="000000"/>
              </w:rPr>
            </w:pPr>
          </w:p>
        </w:tc>
        <w:tc>
          <w:tcPr>
            <w:tcW w:w="1418" w:type="dxa"/>
            <w:shd w:val="clear" w:color="auto" w:fill="auto"/>
            <w:vAlign w:val="center"/>
          </w:tcPr>
          <w:p w14:paraId="65DA3DEF" w14:textId="77777777" w:rsidR="0072097E" w:rsidRPr="000E2659" w:rsidRDefault="00000000">
            <w:pPr>
              <w:widowControl w:val="0"/>
              <w:spacing w:line="360" w:lineRule="auto"/>
              <w:rPr>
                <w:color w:val="000000"/>
              </w:rPr>
            </w:pPr>
            <w:r w:rsidRPr="000E2659">
              <w:rPr>
                <w:color w:val="000000"/>
              </w:rPr>
              <w:t>RES/054/2016</w:t>
            </w:r>
          </w:p>
        </w:tc>
        <w:tc>
          <w:tcPr>
            <w:tcW w:w="3734" w:type="dxa"/>
            <w:shd w:val="clear" w:color="auto" w:fill="auto"/>
            <w:vAlign w:val="center"/>
          </w:tcPr>
          <w:p w14:paraId="0086D9D0" w14:textId="77777777" w:rsidR="0072097E" w:rsidRPr="000E2659" w:rsidRDefault="00000000">
            <w:pPr>
              <w:widowControl w:val="0"/>
              <w:spacing w:line="360" w:lineRule="auto"/>
              <w:rPr>
                <w:color w:val="000000"/>
              </w:rPr>
            </w:pPr>
            <w:r w:rsidRPr="000E2659">
              <w:rPr>
                <w:color w:val="000000"/>
              </w:rPr>
              <w:t>Saltillo</w:t>
            </w:r>
          </w:p>
        </w:tc>
      </w:tr>
      <w:tr w:rsidR="0072097E" w:rsidRPr="000E2659" w14:paraId="7E0178FC" w14:textId="77777777" w:rsidTr="000E2659">
        <w:trPr>
          <w:trHeight w:val="341"/>
          <w:jc w:val="center"/>
        </w:trPr>
        <w:tc>
          <w:tcPr>
            <w:tcW w:w="1668" w:type="dxa"/>
            <w:vMerge/>
            <w:vAlign w:val="center"/>
          </w:tcPr>
          <w:p w14:paraId="5A592A62" w14:textId="77777777" w:rsidR="0072097E" w:rsidRPr="000E2659" w:rsidRDefault="0072097E">
            <w:pPr>
              <w:widowControl w:val="0"/>
              <w:spacing w:line="360" w:lineRule="auto"/>
              <w:rPr>
                <w:color w:val="000000"/>
              </w:rPr>
            </w:pPr>
          </w:p>
        </w:tc>
        <w:tc>
          <w:tcPr>
            <w:tcW w:w="1418" w:type="dxa"/>
            <w:shd w:val="clear" w:color="auto" w:fill="auto"/>
            <w:vAlign w:val="center"/>
          </w:tcPr>
          <w:p w14:paraId="29BBEA03" w14:textId="77777777" w:rsidR="0072097E" w:rsidRPr="000E2659" w:rsidRDefault="00000000">
            <w:pPr>
              <w:widowControl w:val="0"/>
              <w:spacing w:line="360" w:lineRule="auto"/>
              <w:rPr>
                <w:color w:val="000000"/>
              </w:rPr>
            </w:pPr>
            <w:r w:rsidRPr="000E2659">
              <w:rPr>
                <w:color w:val="000000"/>
              </w:rPr>
              <w:t>RES/250/2016</w:t>
            </w:r>
          </w:p>
        </w:tc>
        <w:tc>
          <w:tcPr>
            <w:tcW w:w="3734" w:type="dxa"/>
            <w:shd w:val="clear" w:color="auto" w:fill="auto"/>
            <w:vAlign w:val="center"/>
          </w:tcPr>
          <w:p w14:paraId="290D4AF6" w14:textId="77777777" w:rsidR="0072097E" w:rsidRPr="000E2659" w:rsidRDefault="00000000">
            <w:pPr>
              <w:widowControl w:val="0"/>
              <w:spacing w:line="360" w:lineRule="auto"/>
              <w:rPr>
                <w:color w:val="000000"/>
              </w:rPr>
            </w:pPr>
            <w:r w:rsidRPr="000E2659">
              <w:rPr>
                <w:color w:val="000000"/>
              </w:rPr>
              <w:t>Bajío</w:t>
            </w:r>
          </w:p>
        </w:tc>
      </w:tr>
      <w:tr w:rsidR="0072097E" w:rsidRPr="000E2659" w14:paraId="3B3CF54D" w14:textId="77777777" w:rsidTr="000E2659">
        <w:trPr>
          <w:trHeight w:val="341"/>
          <w:jc w:val="center"/>
        </w:trPr>
        <w:tc>
          <w:tcPr>
            <w:tcW w:w="1668" w:type="dxa"/>
            <w:vMerge/>
            <w:vAlign w:val="center"/>
          </w:tcPr>
          <w:p w14:paraId="198B4F8A" w14:textId="77777777" w:rsidR="0072097E" w:rsidRPr="000E2659" w:rsidRDefault="0072097E">
            <w:pPr>
              <w:widowControl w:val="0"/>
              <w:spacing w:line="360" w:lineRule="auto"/>
              <w:rPr>
                <w:color w:val="000000"/>
              </w:rPr>
            </w:pPr>
          </w:p>
        </w:tc>
        <w:tc>
          <w:tcPr>
            <w:tcW w:w="1418" w:type="dxa"/>
            <w:shd w:val="clear" w:color="auto" w:fill="auto"/>
            <w:vAlign w:val="center"/>
          </w:tcPr>
          <w:p w14:paraId="10771B81" w14:textId="77777777" w:rsidR="0072097E" w:rsidRPr="000E2659" w:rsidRDefault="00000000">
            <w:pPr>
              <w:widowControl w:val="0"/>
              <w:spacing w:line="360" w:lineRule="auto"/>
              <w:rPr>
                <w:color w:val="000000"/>
              </w:rPr>
            </w:pPr>
            <w:r w:rsidRPr="000E2659">
              <w:rPr>
                <w:color w:val="000000"/>
              </w:rPr>
              <w:t>RES/2753/2018</w:t>
            </w:r>
          </w:p>
        </w:tc>
        <w:tc>
          <w:tcPr>
            <w:tcW w:w="3734" w:type="dxa"/>
            <w:shd w:val="clear" w:color="auto" w:fill="auto"/>
            <w:vAlign w:val="center"/>
          </w:tcPr>
          <w:p w14:paraId="4466EA72" w14:textId="77777777" w:rsidR="0072097E" w:rsidRPr="000E2659" w:rsidRDefault="00000000">
            <w:pPr>
              <w:widowControl w:val="0"/>
              <w:spacing w:line="360" w:lineRule="auto"/>
              <w:rPr>
                <w:color w:val="000000"/>
              </w:rPr>
            </w:pPr>
            <w:r w:rsidRPr="000E2659">
              <w:rPr>
                <w:color w:val="000000"/>
              </w:rPr>
              <w:t>Toluca</w:t>
            </w:r>
          </w:p>
        </w:tc>
      </w:tr>
      <w:tr w:rsidR="0072097E" w:rsidRPr="000E2659" w14:paraId="48B3D9B1" w14:textId="77777777" w:rsidTr="000E2659">
        <w:trPr>
          <w:trHeight w:val="341"/>
          <w:jc w:val="center"/>
        </w:trPr>
        <w:tc>
          <w:tcPr>
            <w:tcW w:w="1668" w:type="dxa"/>
            <w:vMerge/>
            <w:vAlign w:val="center"/>
          </w:tcPr>
          <w:p w14:paraId="2C9B554E" w14:textId="77777777" w:rsidR="0072097E" w:rsidRPr="000E2659" w:rsidRDefault="0072097E">
            <w:pPr>
              <w:widowControl w:val="0"/>
              <w:spacing w:line="360" w:lineRule="auto"/>
              <w:rPr>
                <w:color w:val="000000"/>
              </w:rPr>
            </w:pPr>
          </w:p>
        </w:tc>
        <w:tc>
          <w:tcPr>
            <w:tcW w:w="1418" w:type="dxa"/>
            <w:shd w:val="clear" w:color="auto" w:fill="auto"/>
            <w:vAlign w:val="center"/>
          </w:tcPr>
          <w:p w14:paraId="5E244C01" w14:textId="77777777" w:rsidR="0072097E" w:rsidRPr="000E2659" w:rsidRDefault="0072097E">
            <w:pPr>
              <w:widowControl w:val="0"/>
              <w:spacing w:line="360" w:lineRule="auto"/>
              <w:rPr>
                <w:color w:val="000000"/>
              </w:rPr>
            </w:pPr>
          </w:p>
        </w:tc>
        <w:tc>
          <w:tcPr>
            <w:tcW w:w="3734" w:type="dxa"/>
            <w:shd w:val="clear" w:color="auto" w:fill="auto"/>
            <w:vAlign w:val="center"/>
          </w:tcPr>
          <w:p w14:paraId="3184A4D2" w14:textId="77777777" w:rsidR="0072097E" w:rsidRPr="000E2659" w:rsidRDefault="0072097E">
            <w:pPr>
              <w:widowControl w:val="0"/>
              <w:spacing w:line="360" w:lineRule="auto"/>
              <w:rPr>
                <w:color w:val="000000"/>
              </w:rPr>
            </w:pPr>
          </w:p>
        </w:tc>
      </w:tr>
      <w:tr w:rsidR="0072097E" w:rsidRPr="000E2659" w14:paraId="7D1ECF62" w14:textId="77777777" w:rsidTr="000E2659">
        <w:trPr>
          <w:trHeight w:val="341"/>
          <w:jc w:val="center"/>
        </w:trPr>
        <w:tc>
          <w:tcPr>
            <w:tcW w:w="1668" w:type="dxa"/>
            <w:shd w:val="clear" w:color="auto" w:fill="auto"/>
            <w:vAlign w:val="center"/>
          </w:tcPr>
          <w:p w14:paraId="36B32721" w14:textId="77777777" w:rsidR="0072097E" w:rsidRPr="000E2659" w:rsidRDefault="00000000">
            <w:pPr>
              <w:widowControl w:val="0"/>
              <w:spacing w:line="360" w:lineRule="auto"/>
              <w:rPr>
                <w:color w:val="000000"/>
              </w:rPr>
            </w:pPr>
            <w:r w:rsidRPr="000E2659">
              <w:rPr>
                <w:color w:val="000000"/>
              </w:rPr>
              <w:t>D</w:t>
            </w:r>
          </w:p>
        </w:tc>
        <w:tc>
          <w:tcPr>
            <w:tcW w:w="1418" w:type="dxa"/>
            <w:shd w:val="clear" w:color="auto" w:fill="auto"/>
            <w:vAlign w:val="center"/>
          </w:tcPr>
          <w:p w14:paraId="11F0EFF0" w14:textId="77777777" w:rsidR="0072097E" w:rsidRPr="000E2659" w:rsidRDefault="00000000">
            <w:pPr>
              <w:widowControl w:val="0"/>
              <w:spacing w:line="360" w:lineRule="auto"/>
              <w:rPr>
                <w:color w:val="000000"/>
              </w:rPr>
            </w:pPr>
            <w:r w:rsidRPr="000E2659">
              <w:rPr>
                <w:color w:val="000000"/>
              </w:rPr>
              <w:t>RES/107/2016</w:t>
            </w:r>
          </w:p>
        </w:tc>
        <w:tc>
          <w:tcPr>
            <w:tcW w:w="3734" w:type="dxa"/>
            <w:shd w:val="clear" w:color="auto" w:fill="auto"/>
            <w:vAlign w:val="center"/>
          </w:tcPr>
          <w:p w14:paraId="63318095" w14:textId="77777777" w:rsidR="0072097E" w:rsidRPr="000E2659" w:rsidRDefault="00000000">
            <w:pPr>
              <w:widowControl w:val="0"/>
              <w:spacing w:line="360" w:lineRule="auto"/>
              <w:rPr>
                <w:color w:val="000000"/>
              </w:rPr>
            </w:pPr>
            <w:r w:rsidRPr="000E2659">
              <w:rPr>
                <w:color w:val="000000"/>
              </w:rPr>
              <w:t>Ciudad Juárez</w:t>
            </w:r>
          </w:p>
        </w:tc>
      </w:tr>
      <w:tr w:rsidR="0072097E" w:rsidRPr="000E2659" w14:paraId="259654E4" w14:textId="77777777" w:rsidTr="000E2659">
        <w:trPr>
          <w:trHeight w:val="341"/>
          <w:jc w:val="center"/>
        </w:trPr>
        <w:tc>
          <w:tcPr>
            <w:tcW w:w="1668" w:type="dxa"/>
            <w:shd w:val="clear" w:color="auto" w:fill="auto"/>
            <w:vAlign w:val="center"/>
          </w:tcPr>
          <w:p w14:paraId="2206DB17" w14:textId="77777777" w:rsidR="0072097E" w:rsidRPr="000E2659" w:rsidRDefault="00000000">
            <w:pPr>
              <w:widowControl w:val="0"/>
              <w:spacing w:line="360" w:lineRule="auto"/>
              <w:rPr>
                <w:color w:val="000000"/>
              </w:rPr>
            </w:pPr>
            <w:r w:rsidRPr="000E2659">
              <w:rPr>
                <w:color w:val="000000"/>
              </w:rPr>
              <w:t>E</w:t>
            </w:r>
          </w:p>
        </w:tc>
        <w:tc>
          <w:tcPr>
            <w:tcW w:w="1418" w:type="dxa"/>
            <w:shd w:val="clear" w:color="auto" w:fill="auto"/>
            <w:vAlign w:val="center"/>
          </w:tcPr>
          <w:p w14:paraId="7C0FB7D3" w14:textId="77777777" w:rsidR="0072097E" w:rsidRPr="000E2659" w:rsidRDefault="00000000">
            <w:pPr>
              <w:widowControl w:val="0"/>
              <w:spacing w:line="360" w:lineRule="auto"/>
              <w:rPr>
                <w:color w:val="000000"/>
              </w:rPr>
            </w:pPr>
            <w:r w:rsidRPr="000E2659">
              <w:rPr>
                <w:color w:val="000000"/>
              </w:rPr>
              <w:t>RES/072/2016</w:t>
            </w:r>
          </w:p>
        </w:tc>
        <w:tc>
          <w:tcPr>
            <w:tcW w:w="3734" w:type="dxa"/>
            <w:shd w:val="clear" w:color="auto" w:fill="auto"/>
            <w:vAlign w:val="center"/>
          </w:tcPr>
          <w:p w14:paraId="020C1BE2" w14:textId="77777777" w:rsidR="0072097E" w:rsidRPr="000E2659" w:rsidRDefault="00000000">
            <w:pPr>
              <w:widowControl w:val="0"/>
              <w:spacing w:line="360" w:lineRule="auto"/>
              <w:rPr>
                <w:color w:val="000000"/>
              </w:rPr>
            </w:pPr>
            <w:r w:rsidRPr="000E2659">
              <w:rPr>
                <w:color w:val="000000"/>
              </w:rPr>
              <w:t>Monterrey</w:t>
            </w:r>
          </w:p>
        </w:tc>
      </w:tr>
      <w:tr w:rsidR="0072097E" w:rsidRPr="000E2659" w14:paraId="41E27265" w14:textId="77777777" w:rsidTr="000E2659">
        <w:trPr>
          <w:trHeight w:val="341"/>
          <w:jc w:val="center"/>
        </w:trPr>
        <w:tc>
          <w:tcPr>
            <w:tcW w:w="1668" w:type="dxa"/>
            <w:shd w:val="clear" w:color="auto" w:fill="auto"/>
            <w:vAlign w:val="center"/>
          </w:tcPr>
          <w:p w14:paraId="1343739E" w14:textId="77777777" w:rsidR="0072097E" w:rsidRPr="000E2659" w:rsidRDefault="00000000">
            <w:pPr>
              <w:widowControl w:val="0"/>
              <w:spacing w:line="360" w:lineRule="auto"/>
              <w:rPr>
                <w:color w:val="000000"/>
              </w:rPr>
            </w:pPr>
            <w:r w:rsidRPr="000E2659">
              <w:rPr>
                <w:color w:val="000000"/>
              </w:rPr>
              <w:t>F</w:t>
            </w:r>
          </w:p>
        </w:tc>
        <w:tc>
          <w:tcPr>
            <w:tcW w:w="1418" w:type="dxa"/>
            <w:shd w:val="clear" w:color="auto" w:fill="auto"/>
            <w:vAlign w:val="center"/>
          </w:tcPr>
          <w:p w14:paraId="1DB73524" w14:textId="77777777" w:rsidR="0072097E" w:rsidRPr="000E2659" w:rsidRDefault="00000000">
            <w:pPr>
              <w:widowControl w:val="0"/>
              <w:spacing w:line="360" w:lineRule="auto"/>
              <w:rPr>
                <w:color w:val="000000"/>
              </w:rPr>
            </w:pPr>
            <w:r w:rsidRPr="000E2659">
              <w:rPr>
                <w:color w:val="000000"/>
              </w:rPr>
              <w:t>RES/2633/2018</w:t>
            </w:r>
          </w:p>
        </w:tc>
        <w:tc>
          <w:tcPr>
            <w:tcW w:w="3734" w:type="dxa"/>
            <w:shd w:val="clear" w:color="auto" w:fill="auto"/>
            <w:vAlign w:val="center"/>
          </w:tcPr>
          <w:p w14:paraId="187E5729" w14:textId="77777777" w:rsidR="0072097E" w:rsidRPr="000E2659" w:rsidRDefault="00000000">
            <w:pPr>
              <w:widowControl w:val="0"/>
              <w:spacing w:line="360" w:lineRule="auto"/>
              <w:rPr>
                <w:color w:val="000000"/>
              </w:rPr>
            </w:pPr>
            <w:r w:rsidRPr="000E2659">
              <w:rPr>
                <w:color w:val="000000"/>
              </w:rPr>
              <w:t>Hermosillo, Guaymas, Empalme</w:t>
            </w:r>
          </w:p>
        </w:tc>
      </w:tr>
      <w:tr w:rsidR="0072097E" w:rsidRPr="000E2659" w14:paraId="33D4C876" w14:textId="77777777" w:rsidTr="000E2659">
        <w:trPr>
          <w:trHeight w:val="341"/>
          <w:jc w:val="center"/>
        </w:trPr>
        <w:tc>
          <w:tcPr>
            <w:tcW w:w="1668" w:type="dxa"/>
            <w:shd w:val="clear" w:color="auto" w:fill="auto"/>
            <w:vAlign w:val="center"/>
          </w:tcPr>
          <w:p w14:paraId="274B76DE" w14:textId="77777777" w:rsidR="0072097E" w:rsidRPr="000E2659" w:rsidRDefault="00000000">
            <w:pPr>
              <w:widowControl w:val="0"/>
              <w:spacing w:line="360" w:lineRule="auto"/>
              <w:rPr>
                <w:color w:val="000000"/>
              </w:rPr>
            </w:pPr>
            <w:r w:rsidRPr="000E2659">
              <w:rPr>
                <w:color w:val="000000"/>
              </w:rPr>
              <w:t> </w:t>
            </w:r>
          </w:p>
        </w:tc>
        <w:tc>
          <w:tcPr>
            <w:tcW w:w="1418" w:type="dxa"/>
            <w:shd w:val="clear" w:color="auto" w:fill="auto"/>
            <w:vAlign w:val="center"/>
          </w:tcPr>
          <w:p w14:paraId="151BE4E3" w14:textId="77777777" w:rsidR="0072097E" w:rsidRPr="000E2659" w:rsidRDefault="00000000">
            <w:pPr>
              <w:widowControl w:val="0"/>
              <w:spacing w:line="360" w:lineRule="auto"/>
              <w:rPr>
                <w:color w:val="000000"/>
              </w:rPr>
            </w:pPr>
            <w:r w:rsidRPr="000E2659">
              <w:rPr>
                <w:color w:val="000000"/>
              </w:rPr>
              <w:t>RES/2861/2017</w:t>
            </w:r>
          </w:p>
        </w:tc>
        <w:tc>
          <w:tcPr>
            <w:tcW w:w="3734" w:type="dxa"/>
            <w:shd w:val="clear" w:color="auto" w:fill="auto"/>
            <w:vAlign w:val="center"/>
          </w:tcPr>
          <w:p w14:paraId="6A28A1D1" w14:textId="77777777" w:rsidR="0072097E" w:rsidRPr="000E2659" w:rsidRDefault="00000000">
            <w:pPr>
              <w:widowControl w:val="0"/>
              <w:spacing w:line="360" w:lineRule="auto"/>
              <w:rPr>
                <w:color w:val="000000"/>
              </w:rPr>
            </w:pPr>
            <w:r w:rsidRPr="000E2659">
              <w:rPr>
                <w:color w:val="000000"/>
              </w:rPr>
              <w:t>Piedras Negras</w:t>
            </w:r>
          </w:p>
        </w:tc>
      </w:tr>
    </w:tbl>
    <w:p w14:paraId="051B222D" w14:textId="77777777" w:rsidR="0072097E" w:rsidRPr="000E2659" w:rsidRDefault="00000000" w:rsidP="0039141E">
      <w:pPr>
        <w:spacing w:line="360" w:lineRule="auto"/>
        <w:jc w:val="center"/>
        <w:rPr>
          <w:lang w:val="es-ES"/>
        </w:rPr>
      </w:pPr>
      <w:r w:rsidRPr="000E2659">
        <w:rPr>
          <w:lang w:val="es-ES"/>
        </w:rPr>
        <w:t>Fuente: Elaboración propia con base en Resoluciones emitidas por la CRE.</w:t>
      </w:r>
    </w:p>
    <w:p w14:paraId="39D22D33" w14:textId="76E10AE0" w:rsidR="0072097E" w:rsidRPr="000E2659" w:rsidRDefault="00000000" w:rsidP="000E2659">
      <w:pPr>
        <w:spacing w:line="360" w:lineRule="auto"/>
        <w:ind w:left="708" w:firstLine="708"/>
        <w:rPr>
          <w:sz w:val="20"/>
          <w:szCs w:val="20"/>
          <w:lang w:val="es-ES"/>
        </w:rPr>
      </w:pPr>
      <w:r w:rsidRPr="000E2659">
        <w:rPr>
          <w:lang w:val="es-ES"/>
        </w:rPr>
        <w:t>Nota: Se omiten los nombres reales de los grupos empresariales.</w:t>
      </w:r>
    </w:p>
    <w:p w14:paraId="4F1CCFDF" w14:textId="77777777" w:rsidR="0072097E" w:rsidRDefault="00000000">
      <w:pPr>
        <w:spacing w:line="360" w:lineRule="auto"/>
        <w:jc w:val="both"/>
      </w:pPr>
      <w:r>
        <w:tab/>
        <w:t>Por esta evidencia, los autores asumen que existe un fallo sistémico en la regulación del gas natural que consiste en la ausencia de transparencia en el cálculo tarifario del sector de distribución, y que esta falta de claridad en el método de cálculo resulta en tarifas que benefician indebidamente, desde un punto de vista regulatorio, a las empresas reguladas. El desarrollo contable presentado en este artículo confirma esta hipótesis en el caso estudiado, lo que sugiere una metodología futura aplicable para el conjunto de casos que presenten condiciones similares de falta de transparencia en la información.</w:t>
      </w:r>
    </w:p>
    <w:p w14:paraId="1F5F8FC1" w14:textId="77777777" w:rsidR="0072097E" w:rsidRDefault="0072097E">
      <w:pPr>
        <w:spacing w:line="360" w:lineRule="auto"/>
        <w:jc w:val="both"/>
      </w:pPr>
    </w:p>
    <w:p w14:paraId="301AAE9D" w14:textId="77777777" w:rsidR="0072097E" w:rsidRDefault="00000000" w:rsidP="000E2659">
      <w:pPr>
        <w:spacing w:line="360" w:lineRule="auto"/>
        <w:jc w:val="center"/>
        <w:rPr>
          <w:b/>
          <w:bCs/>
          <w:sz w:val="28"/>
          <w:szCs w:val="28"/>
        </w:rPr>
      </w:pPr>
      <w:r>
        <w:rPr>
          <w:b/>
          <w:bCs/>
          <w:sz w:val="28"/>
          <w:szCs w:val="28"/>
        </w:rPr>
        <w:t>Economía y contabilidad básica de la regulación del gas natural</w:t>
      </w:r>
    </w:p>
    <w:p w14:paraId="0AA98C2A" w14:textId="18E2B2F0" w:rsidR="0072097E" w:rsidRDefault="00000000">
      <w:pPr>
        <w:spacing w:line="360" w:lineRule="auto"/>
        <w:jc w:val="both"/>
      </w:pPr>
      <w:r>
        <w:t>En la estructura de precios de la energía, las rentas que son captadas en los distintos niveles de la cadena energética son el reflejo de las relaciones de poder entre los nodos que la componen (</w:t>
      </w:r>
      <w:proofErr w:type="spellStart"/>
      <w:r>
        <w:t>Chevalier</w:t>
      </w:r>
      <w:proofErr w:type="spellEnd"/>
      <w:r>
        <w:t xml:space="preserve">, </w:t>
      </w:r>
      <w:proofErr w:type="spellStart"/>
      <w:r>
        <w:t>Derdevet</w:t>
      </w:r>
      <w:proofErr w:type="spellEnd"/>
      <w:r>
        <w:t xml:space="preserve">, </w:t>
      </w:r>
      <w:proofErr w:type="spellStart"/>
      <w:r>
        <w:t>Geoffron</w:t>
      </w:r>
      <w:proofErr w:type="spellEnd"/>
      <w:r>
        <w:t>, 2012)</w:t>
      </w:r>
      <w:r>
        <w:rPr>
          <w:rStyle w:val="Refdenotaalpie"/>
        </w:rPr>
        <w:footnoteReference w:id="2"/>
      </w:r>
      <w:r>
        <w:t xml:space="preserve">. En sistemas sujetos a regulación, las rentas se originan por las llamadas fallas regulatorias, es decir, la incapacidad del regulador para emular correctamente el comportamiento económico del sistema técnico correspondiente. Estas fallas se deben a varios factores: la asimetría de la información entre el regulado y el regulador; falta de transparencia; insuficiente difusión pública; incertidumbre </w:t>
      </w:r>
      <w:r>
        <w:lastRenderedPageBreak/>
        <w:t>regulatoria; poder discrecional del regulador; adopción de marcos regulatorios sin tener en cuenta el contexto político, legal e institucional; inadecuada recopilación de información y ausencia de modelos cuantitativos para determinar el impacto de las decisiones regulatorias (</w:t>
      </w:r>
      <w:proofErr w:type="spellStart"/>
      <w:r>
        <w:t>Estache</w:t>
      </w:r>
      <w:proofErr w:type="spellEnd"/>
      <w:r>
        <w:t xml:space="preserve"> et al., 2003; Sunita y </w:t>
      </w:r>
      <w:proofErr w:type="spellStart"/>
      <w:r>
        <w:t>Nellis</w:t>
      </w:r>
      <w:proofErr w:type="spellEnd"/>
      <w:r>
        <w:t xml:space="preserve">, 2004; </w:t>
      </w:r>
      <w:proofErr w:type="spellStart"/>
      <w:r>
        <w:t>Paulson</w:t>
      </w:r>
      <w:proofErr w:type="spellEnd"/>
      <w:r>
        <w:t>, 2005; O</w:t>
      </w:r>
      <w:r w:rsidR="00AF0C04">
        <w:t xml:space="preserve">CDE </w:t>
      </w:r>
      <w:r>
        <w:t>, 2014). En conjunto, son algunas de las fallas que permiten al regulador ser capturado por parte del regulado.</w:t>
      </w:r>
    </w:p>
    <w:p w14:paraId="2572D38B" w14:textId="77777777" w:rsidR="0072097E" w:rsidRDefault="00000000">
      <w:pPr>
        <w:spacing w:line="360" w:lineRule="auto"/>
        <w:ind w:firstLine="709"/>
        <w:jc w:val="both"/>
      </w:pPr>
      <w:r>
        <w:t>La regulación, como cuerpo particular dentro de la teoría económica, se fundamenta en principios económicos básicos (</w:t>
      </w:r>
      <w:proofErr w:type="spellStart"/>
      <w:r>
        <w:t>Veljanovsky</w:t>
      </w:r>
      <w:proofErr w:type="spellEnd"/>
      <w:r>
        <w:t>, 2010). En efecto, la taxonomía de los costos tiene dos vertientes que se integran en los cálculos económicos: la de costos fijos y variables y la de costos directos e indirectos. Los primeros son costos que debe recuperar la empresa y los segundos se refieren a la forma en que la empresa asigna costos a sus actividades. Ambas vertientes se integran en la contabilidad necesaria para obtener el resultado de precios regulados, los que deben reflejar correctamente la recuperación y la asignación de costos.</w:t>
      </w:r>
    </w:p>
    <w:p w14:paraId="412A3C62" w14:textId="77777777" w:rsidR="0072097E" w:rsidRDefault="00000000">
      <w:pPr>
        <w:spacing w:line="360" w:lineRule="auto"/>
        <w:ind w:firstLine="709"/>
        <w:jc w:val="both"/>
      </w:pPr>
      <w:r>
        <w:t>Los costos fijos y variables de la empresa, divididos por la cantidad producida, determinan los costos unitarios. A mayor cantidad producida, la parte de costos fijos hace bajar los costos unitarios -economía de escala- y la parte de costos variables se puede moderar o administrar con eficiencia organizacional y salarial. Los costos unitarios se transforman en precios de venta básicamente por agregar un porcentaje que resulta del rendimiento esperado por el capital invertido. La inversión en esta industria es alta y se considera como costo hundido porque una vez materializada en infraestructura física tiene una única función económica.</w:t>
      </w:r>
    </w:p>
    <w:p w14:paraId="0C5B60FC" w14:textId="77777777" w:rsidR="0072097E" w:rsidRDefault="00000000">
      <w:pPr>
        <w:spacing w:line="360" w:lineRule="auto"/>
        <w:ind w:firstLine="709"/>
        <w:jc w:val="both"/>
      </w:pPr>
      <w:r>
        <w:t>Phillips y Brown (1993) señalan que la característica anterior es la que justifica que las empresas de transporte y distribución de gas sean reguladas por la existencia de economías de escala significativas. Las empresas que actúan en ese mercado, dado que carecen de competencia por tratarse de un monopolio natural en un mercado regional específico, no trasladan la baja de costos al consumidor, por lo cual adquieren rentas crecientes. Esta tendencia es contrarrestada por la regulación. Dado que existen otros sectores en los cuales existe un proceso semejante y no son regulados, el criterio legal y social es el determinante: el gas natural, como el agua o la electricidad, constituyen servicios públicos cuyo precio, calidad y suministro deben ser regulados, de allí la definición amplia de regulación: “La regulación es un concepto económico, legislativo y legal” (Phillips y Brown, 1993, p. 49).</w:t>
      </w:r>
    </w:p>
    <w:p w14:paraId="28A44DCF" w14:textId="77777777" w:rsidR="0072097E" w:rsidRDefault="00000000">
      <w:pPr>
        <w:spacing w:line="360" w:lineRule="auto"/>
        <w:jc w:val="both"/>
        <w:rPr>
          <w:lang w:val="es-ES"/>
        </w:rPr>
      </w:pPr>
      <w:r>
        <w:rPr>
          <w:lang w:val="es-ES"/>
        </w:rPr>
        <w:tab/>
        <w:t xml:space="preserve">En la taxonomía de costos, aquellos que son caracterizados como directos e indirectos están relacionados por su papel en la producción. En el caso de empresas </w:t>
      </w:r>
      <w:proofErr w:type="spellStart"/>
      <w:r>
        <w:rPr>
          <w:lang w:val="es-ES"/>
        </w:rPr>
        <w:t>multi-producto</w:t>
      </w:r>
      <w:proofErr w:type="spellEnd"/>
      <w:r>
        <w:rPr>
          <w:lang w:val="es-ES"/>
        </w:rPr>
        <w:t xml:space="preserve">, los </w:t>
      </w:r>
      <w:r>
        <w:rPr>
          <w:lang w:val="es-ES"/>
        </w:rPr>
        <w:lastRenderedPageBreak/>
        <w:t xml:space="preserve">costos directos deben reflejar la actividad específica de cada tipo de bien o servicio producido, y los costos indirectos se distribuyen en las actividades que son comunes dentro de la empresa. En el caso de empresas que distribuyen gas a diversos tipos de usuarios (domésticos, industria, etc.), cada infraestructura física y operativa por tipo de usuario tiene sus propios costos directos, los cuales deben reflejarse en el precio (tarifa) específico. Si esta asignación no se cumple, se tiene una situación de subsidios cruzados y puede darse el caso de que los usuarios domésticos paguen en su tarifa un precio superior </w:t>
      </w:r>
      <w:proofErr w:type="gramStart"/>
      <w:r>
        <w:rPr>
          <w:lang w:val="es-ES"/>
        </w:rPr>
        <w:t>en relación a</w:t>
      </w:r>
      <w:proofErr w:type="gramEnd"/>
      <w:r>
        <w:rPr>
          <w:lang w:val="es-ES"/>
        </w:rPr>
        <w:t xml:space="preserve"> los costos del servicio doméstico, beneficiando a usuarios industriales que en su tarifa pagan un servicio menor en relación a los costos del servicio industrial, generándose así un subsidio cruzado.</w:t>
      </w:r>
    </w:p>
    <w:p w14:paraId="4249C2C2" w14:textId="2237C0CF" w:rsidR="0072097E" w:rsidRDefault="00000000">
      <w:pPr>
        <w:spacing w:line="360" w:lineRule="auto"/>
        <w:jc w:val="both"/>
      </w:pPr>
      <w:r>
        <w:tab/>
        <w:t>Estos principios económicos básicos son los que dan pie a una contabilidad regulatoria. Los organismos reguladores calculan precios y tarifas de las empresas con la información contable de los distintos costos fijos y variables que las mismas les proporcionan (</w:t>
      </w:r>
      <w:proofErr w:type="spellStart"/>
      <w:r>
        <w:t>Lesser</w:t>
      </w:r>
      <w:proofErr w:type="spellEnd"/>
      <w:r w:rsidR="00DD03E8">
        <w:t xml:space="preserve"> y </w:t>
      </w:r>
      <w:proofErr w:type="spellStart"/>
      <w:r w:rsidR="00DD03E8">
        <w:t>Giacchino</w:t>
      </w:r>
      <w:proofErr w:type="spellEnd"/>
      <w:r>
        <w:t xml:space="preserve">, 2007; </w:t>
      </w:r>
      <w:proofErr w:type="spellStart"/>
      <w:r>
        <w:t>Rodriguez</w:t>
      </w:r>
      <w:proofErr w:type="spellEnd"/>
      <w:r>
        <w:t xml:space="preserve">, </w:t>
      </w:r>
      <w:proofErr w:type="gramStart"/>
      <w:r w:rsidR="00DB60C1">
        <w:t>et  al</w:t>
      </w:r>
      <w:proofErr w:type="gramEnd"/>
      <w:r w:rsidR="00DB60C1">
        <w:t xml:space="preserve">. , </w:t>
      </w:r>
      <w:r>
        <w:t>2008). Para regular el precio existen dos principios: de acuerdo con Boehm (2015), la regulación puede estar basada en costos o en incentivos. El primero consiste en fijar un límite al precio a partir de una estructura de costos y ganancias que el regulador considera razonable a fin de permitir la sostenibilidad de la empresa en el tiempo. Aquí, la empresa debe demostrar que lleva a cabo procesos de eficiencia. El segundo consiste en obligar a la empresa a disminuir costos unitarios (eficiencia) y asociar su precio unitario con esa eficiencia. Es fácil comprender que para el regulador es más sencillo generar las metodologías de contabilidad para el primer caso.</w:t>
      </w:r>
    </w:p>
    <w:p w14:paraId="22C16E09" w14:textId="77777777" w:rsidR="0072097E" w:rsidRDefault="00000000">
      <w:pPr>
        <w:spacing w:line="360" w:lineRule="auto"/>
        <w:jc w:val="both"/>
      </w:pPr>
      <w:r>
        <w:tab/>
        <w:t>Dado que las condiciones de mercado son dinámicas, los procesos de cálculo deben actualizarse periódicamente. Los reguladores trabajan entonces con los datos y resultados del periodo previo y con los planes de inversión, gestión de la eficiencia y expansión de mercados de las empresas, generando así precios y tarifas para un periodo siguiente.</w:t>
      </w:r>
    </w:p>
    <w:p w14:paraId="71A715C6" w14:textId="77777777" w:rsidR="0072097E" w:rsidRDefault="0072097E">
      <w:pPr>
        <w:spacing w:line="360" w:lineRule="auto"/>
        <w:jc w:val="both"/>
      </w:pPr>
    </w:p>
    <w:p w14:paraId="31FB4A36" w14:textId="77777777" w:rsidR="0072097E" w:rsidRDefault="00000000" w:rsidP="000E2659">
      <w:pPr>
        <w:spacing w:line="360" w:lineRule="auto"/>
        <w:jc w:val="center"/>
        <w:rPr>
          <w:b/>
          <w:bCs/>
        </w:rPr>
      </w:pPr>
      <w:r>
        <w:rPr>
          <w:b/>
          <w:bCs/>
        </w:rPr>
        <w:t>El cálculo de tarifas en la regulación de gas natural en México</w:t>
      </w:r>
    </w:p>
    <w:p w14:paraId="105AC812" w14:textId="77777777" w:rsidR="0072097E" w:rsidRDefault="00000000">
      <w:pPr>
        <w:spacing w:line="360" w:lineRule="auto"/>
        <w:jc w:val="both"/>
      </w:pPr>
      <w:r>
        <w:t>Los conceptos anteriores se materializan en el cuerpo metodológico de la regulación sobre transporte y distribución de gas natural en México a través de los instrumentos normativos.</w:t>
      </w:r>
    </w:p>
    <w:p w14:paraId="05BA14D6" w14:textId="77777777" w:rsidR="0072097E" w:rsidRDefault="00000000">
      <w:pPr>
        <w:spacing w:line="360" w:lineRule="auto"/>
        <w:jc w:val="both"/>
      </w:pPr>
      <w:r>
        <w:tab/>
        <w:t>Los instrumentos normativos aplicables para la determinación de las tarifas del servicio de distribución de gas natural por medio de ductos son dos: la Directiva de contabilidad para las actividades reguladas en materia de gas natural (CRE, 1996), que en el texto será llamada Directiva de Contabilidad, y la Directiva de Tarifas (CRE, 2007).</w:t>
      </w:r>
    </w:p>
    <w:p w14:paraId="4EBE155B" w14:textId="77777777" w:rsidR="0072097E" w:rsidRDefault="00000000">
      <w:pPr>
        <w:spacing w:line="360" w:lineRule="auto"/>
        <w:jc w:val="both"/>
        <w:rPr>
          <w:lang w:val="es-ES"/>
        </w:rPr>
      </w:pPr>
      <w:r>
        <w:rPr>
          <w:lang w:val="es-ES"/>
        </w:rPr>
        <w:lastRenderedPageBreak/>
        <w:t>Las tarifas máximas iniciales del servicio de distribución por ductos se calculan y aprueban al momento de otorgar el permiso correspondiente y se revisan cada 5 años, aunque anualmente se ajustan por el índice de inflación y por determinados costos que se consideran trasladables al precio. La empresa debe presentar al organismo regulador un “Requerimiento de ingresos”</w:t>
      </w:r>
      <w:r>
        <w:rPr>
          <w:rStyle w:val="Refdenotaalpie"/>
          <w:lang w:val="es-ES"/>
        </w:rPr>
        <w:footnoteReference w:id="3"/>
      </w:r>
      <w:r>
        <w:rPr>
          <w:lang w:val="es-ES"/>
        </w:rPr>
        <w:t xml:space="preserve"> (RI) dentro de su plan de negocios, el cual contiene la proyección de la inversión y la proporción del RI que corresponde al costo de la prestación de los servicios a cada grupo tarifario. La asignación de costos que da pie a una tarifa debe basarse en una metodología que evite la discriminación indebida y los subsidios cruzados entre los usuarios del servicio de distribución, según la disposición 7.1 de la Directiva de Tarifas</w:t>
      </w:r>
      <w:r>
        <w:rPr>
          <w:rStyle w:val="Refdenotaalpie"/>
          <w:lang w:val="es-ES"/>
        </w:rPr>
        <w:footnoteReference w:id="4"/>
      </w:r>
      <w:r>
        <w:rPr>
          <w:lang w:val="es-ES"/>
        </w:rPr>
        <w:t xml:space="preserve">. </w:t>
      </w:r>
    </w:p>
    <w:p w14:paraId="6D462610" w14:textId="77777777" w:rsidR="0072097E" w:rsidRDefault="00000000">
      <w:pPr>
        <w:spacing w:line="360" w:lineRule="auto"/>
        <w:jc w:val="both"/>
        <w:rPr>
          <w:lang w:val="es-ES"/>
        </w:rPr>
      </w:pPr>
      <w:r>
        <w:rPr>
          <w:lang w:val="es-ES"/>
        </w:rPr>
        <w:tab/>
        <w:t>El siguiente diagrama ilustra las principales variables que intervienen en el cálculo del RI.</w:t>
      </w:r>
    </w:p>
    <w:p w14:paraId="372F2422" w14:textId="77777777" w:rsidR="0072097E" w:rsidRDefault="0072097E">
      <w:pPr>
        <w:spacing w:line="360" w:lineRule="auto"/>
        <w:jc w:val="both"/>
        <w:rPr>
          <w:lang w:val="es-ES"/>
        </w:rPr>
      </w:pPr>
    </w:p>
    <w:p w14:paraId="2689EA9E" w14:textId="77777777" w:rsidR="0072097E" w:rsidRDefault="00000000">
      <w:pPr>
        <w:spacing w:line="360" w:lineRule="auto"/>
        <w:jc w:val="center"/>
        <w:rPr>
          <w:lang w:val="es-ES"/>
        </w:rPr>
      </w:pPr>
      <w:r>
        <w:rPr>
          <w:b/>
          <w:bCs/>
          <w:lang w:val="es-ES"/>
        </w:rPr>
        <w:t>Figura 1.</w:t>
      </w:r>
      <w:r>
        <w:rPr>
          <w:lang w:val="es-ES"/>
        </w:rPr>
        <w:t xml:space="preserve"> Estructura del Requerimiento de Ingresos.</w:t>
      </w:r>
    </w:p>
    <w:p w14:paraId="13FA8711" w14:textId="77777777" w:rsidR="0072097E" w:rsidRDefault="00000000">
      <w:pPr>
        <w:spacing w:line="360" w:lineRule="auto"/>
        <w:jc w:val="center"/>
        <w:rPr>
          <w:lang w:val="es-ES"/>
        </w:rPr>
      </w:pPr>
      <w:r>
        <w:rPr>
          <w:noProof/>
        </w:rPr>
        <w:drawing>
          <wp:inline distT="0" distB="0" distL="0" distR="0" wp14:anchorId="7B1EFCFD" wp14:editId="6EDC645A">
            <wp:extent cx="5612130" cy="174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612130" cy="1746250"/>
                    </a:xfrm>
                    <a:prstGeom prst="rect">
                      <a:avLst/>
                    </a:prstGeom>
                  </pic:spPr>
                </pic:pic>
              </a:graphicData>
            </a:graphic>
          </wp:inline>
        </w:drawing>
      </w:r>
    </w:p>
    <w:p w14:paraId="0D1C5E96" w14:textId="4EF552B8" w:rsidR="0072097E" w:rsidRPr="000E2659" w:rsidRDefault="00000000" w:rsidP="000E2659">
      <w:pPr>
        <w:spacing w:line="360" w:lineRule="auto"/>
        <w:jc w:val="center"/>
        <w:rPr>
          <w:lang w:val="es-ES"/>
        </w:rPr>
      </w:pPr>
      <w:r w:rsidRPr="000E2659">
        <w:rPr>
          <w:lang w:val="es-ES"/>
        </w:rPr>
        <w:t>Fuente: Elaboración propia con base en CRE (2007)</w:t>
      </w:r>
    </w:p>
    <w:p w14:paraId="0EEB7BEA" w14:textId="77777777" w:rsidR="0072097E" w:rsidRDefault="00000000">
      <w:pPr>
        <w:spacing w:line="360" w:lineRule="auto"/>
        <w:jc w:val="both"/>
        <w:rPr>
          <w:lang w:val="es-ES"/>
        </w:rPr>
      </w:pPr>
      <w:r>
        <w:rPr>
          <w:lang w:val="es-ES"/>
        </w:rPr>
        <w:tab/>
        <w:t>En la Figura 1, se observa la importancia de la base de activos, pues interviene de forma directa en el cálculo de dos componentes y de manera indirecta en los impuestos, definiendo así, en gran medida, el nivel del R. Dicha base está conformada por todos los activos necesarios para la prestación del servicio, más el capital de trabajo, incluyendo las inversiones necesarias para operar de forma segura y eficiente.</w:t>
      </w:r>
    </w:p>
    <w:p w14:paraId="7AFD7ECB" w14:textId="77777777" w:rsidR="0072097E" w:rsidRDefault="00000000">
      <w:pPr>
        <w:spacing w:line="360" w:lineRule="auto"/>
        <w:jc w:val="both"/>
        <w:rPr>
          <w:lang w:val="es-ES"/>
        </w:rPr>
      </w:pPr>
      <w:r>
        <w:tab/>
        <w:t xml:space="preserve">Las empresas deben presentar el RI por grupo tarifario, con la identificación de los rubros que son directamente atribuibles a la prestación del servicio de cada grupo tarifario (costos directos) y de los montos comunes que se asignan a todos los grupos tarifarios (costos </w:t>
      </w:r>
      <w:r>
        <w:lastRenderedPageBreak/>
        <w:t xml:space="preserve">indirectos), según la disposición 12.5 de la Directiva de Tarifas. Los criterios de asignación de los activos y de los costos de operación, administración y ventas (costos OMAV) deben considerar los factores que los originan, tales como: “las unidades de gas que se estima conducir por grupo tarifario, el número de usuarios por grupo tarifario, el factor de carga, la distancia entre trayectos del sistema y el costo del servicio específico </w:t>
      </w:r>
      <w:proofErr w:type="gramStart"/>
      <w:r>
        <w:t>en relación al</w:t>
      </w:r>
      <w:proofErr w:type="gramEnd"/>
      <w:r>
        <w:t xml:space="preserve"> requerimiento de ingresos total” (disposición 12.6 de la Directiva de Tarifas).</w:t>
      </w:r>
    </w:p>
    <w:p w14:paraId="69F63A30" w14:textId="77777777" w:rsidR="0072097E" w:rsidRDefault="00000000">
      <w:pPr>
        <w:spacing w:line="360" w:lineRule="auto"/>
        <w:jc w:val="both"/>
        <w:rPr>
          <w:lang w:val="es-ES"/>
        </w:rPr>
      </w:pPr>
      <w:r>
        <w:tab/>
        <w:t xml:space="preserve">Las empresas generalmente operan diversos sistemas de distribución y ofrecen diversos servicios, incurriendo así en costos comunes, </w:t>
      </w:r>
      <w:proofErr w:type="gramStart"/>
      <w:r>
        <w:t>y</w:t>
      </w:r>
      <w:proofErr w:type="gramEnd"/>
      <w:r>
        <w:t xml:space="preserve"> por tanto, el regulador debe asegurar la correcta distribución de tales costos entre las distintas tarifas, es decir, los distintos tipos de usuarios. La Directiva de Contabilidad sugiere distribuir los costos y gastos comunes mediante el cálculo de la relación de costos comunes entre las siguientes variables por grupo tarifario: ingresos, activos, número de empleados, salarios y la utilidad bruta. Sin embargo, en la información pública no hay evidencia de que las empresas presenten a la CRE los criterios de asignación de costos y gastos comunes de sistemas y servicios operados por la empresa, lo cual dificulta la labor de supervisión del regulador respecto de que las tarifas sólo incluyan activos y costos relacionados con la distribución de gas natural en la zona geográfica correspondiente.</w:t>
      </w:r>
    </w:p>
    <w:p w14:paraId="26233ACD" w14:textId="77777777" w:rsidR="0072097E" w:rsidRDefault="00000000">
      <w:pPr>
        <w:spacing w:line="360" w:lineRule="auto"/>
        <w:jc w:val="both"/>
        <w:rPr>
          <w:lang w:val="es-ES"/>
        </w:rPr>
      </w:pPr>
      <w:r>
        <w:tab/>
        <w:t>A partir del activo fijo neto y de los costos OMAV por grupo tarifario, se determina la base de activos y con ello se pueden determinar las otras dos variables del RI por grupo tarifario, que son: rentabilidad e impuestos. A continuación, se obtienen tarifas por tipos de cargos, que son tres cocientes: el RI dividido por el número de usuarios, por la capacidad reservada y por la energía transportada, como se explica en la Tabla 2.</w:t>
      </w:r>
    </w:p>
    <w:p w14:paraId="275BED8B" w14:textId="0BB76D56" w:rsidR="0072097E" w:rsidRDefault="0072097E">
      <w:pPr>
        <w:jc w:val="center"/>
        <w:rPr>
          <w:b/>
          <w:bCs/>
        </w:rPr>
      </w:pPr>
    </w:p>
    <w:p w14:paraId="5DFA9C07" w14:textId="77777777" w:rsidR="0039141E" w:rsidRDefault="0039141E">
      <w:pPr>
        <w:jc w:val="center"/>
        <w:rPr>
          <w:b/>
          <w:bCs/>
        </w:rPr>
      </w:pPr>
    </w:p>
    <w:p w14:paraId="358C8520" w14:textId="77777777" w:rsidR="0039141E" w:rsidRDefault="0039141E">
      <w:pPr>
        <w:jc w:val="center"/>
        <w:rPr>
          <w:b/>
          <w:bCs/>
        </w:rPr>
      </w:pPr>
    </w:p>
    <w:p w14:paraId="0F85F334" w14:textId="77777777" w:rsidR="0039141E" w:rsidRDefault="0039141E">
      <w:pPr>
        <w:jc w:val="center"/>
        <w:rPr>
          <w:b/>
          <w:bCs/>
        </w:rPr>
      </w:pPr>
    </w:p>
    <w:p w14:paraId="6062DB55" w14:textId="77777777" w:rsidR="0039141E" w:rsidRDefault="0039141E">
      <w:pPr>
        <w:jc w:val="center"/>
        <w:rPr>
          <w:b/>
          <w:bCs/>
        </w:rPr>
      </w:pPr>
    </w:p>
    <w:p w14:paraId="50DEF4AB" w14:textId="77777777" w:rsidR="0039141E" w:rsidRDefault="0039141E">
      <w:pPr>
        <w:jc w:val="center"/>
        <w:rPr>
          <w:b/>
          <w:bCs/>
        </w:rPr>
      </w:pPr>
    </w:p>
    <w:p w14:paraId="519E4BB2" w14:textId="77777777" w:rsidR="0039141E" w:rsidRDefault="0039141E">
      <w:pPr>
        <w:jc w:val="center"/>
        <w:rPr>
          <w:b/>
          <w:bCs/>
        </w:rPr>
      </w:pPr>
    </w:p>
    <w:p w14:paraId="3FD96296" w14:textId="77777777" w:rsidR="0039141E" w:rsidRDefault="0039141E">
      <w:pPr>
        <w:jc w:val="center"/>
        <w:rPr>
          <w:b/>
          <w:bCs/>
        </w:rPr>
      </w:pPr>
    </w:p>
    <w:p w14:paraId="700D9FF7" w14:textId="77777777" w:rsidR="0039141E" w:rsidRDefault="0039141E">
      <w:pPr>
        <w:jc w:val="center"/>
        <w:rPr>
          <w:b/>
          <w:bCs/>
        </w:rPr>
      </w:pPr>
    </w:p>
    <w:p w14:paraId="1183E05A" w14:textId="77777777" w:rsidR="0039141E" w:rsidRDefault="0039141E">
      <w:pPr>
        <w:jc w:val="center"/>
        <w:rPr>
          <w:b/>
          <w:bCs/>
        </w:rPr>
      </w:pPr>
    </w:p>
    <w:p w14:paraId="1537076D" w14:textId="77777777" w:rsidR="0039141E" w:rsidRDefault="0039141E">
      <w:pPr>
        <w:jc w:val="center"/>
        <w:rPr>
          <w:b/>
          <w:bCs/>
        </w:rPr>
      </w:pPr>
    </w:p>
    <w:p w14:paraId="4468990D" w14:textId="77777777" w:rsidR="0039141E" w:rsidRDefault="0039141E">
      <w:pPr>
        <w:jc w:val="center"/>
        <w:rPr>
          <w:b/>
          <w:bCs/>
        </w:rPr>
      </w:pPr>
    </w:p>
    <w:p w14:paraId="3619776B" w14:textId="77777777" w:rsidR="0039141E" w:rsidRDefault="0039141E">
      <w:pPr>
        <w:jc w:val="center"/>
        <w:rPr>
          <w:b/>
          <w:bCs/>
        </w:rPr>
      </w:pPr>
    </w:p>
    <w:p w14:paraId="4DD22360" w14:textId="77777777" w:rsidR="0039141E" w:rsidRDefault="0039141E">
      <w:pPr>
        <w:jc w:val="center"/>
        <w:rPr>
          <w:b/>
          <w:bCs/>
        </w:rPr>
      </w:pPr>
    </w:p>
    <w:p w14:paraId="5A92BC19" w14:textId="77777777" w:rsidR="0039141E" w:rsidRDefault="0039141E">
      <w:pPr>
        <w:jc w:val="center"/>
        <w:rPr>
          <w:b/>
          <w:bCs/>
        </w:rPr>
      </w:pPr>
    </w:p>
    <w:p w14:paraId="1F7AE45F" w14:textId="77777777" w:rsidR="0039141E" w:rsidRDefault="0039141E">
      <w:pPr>
        <w:jc w:val="center"/>
        <w:rPr>
          <w:b/>
          <w:bCs/>
        </w:rPr>
      </w:pPr>
    </w:p>
    <w:p w14:paraId="027744E1" w14:textId="77777777" w:rsidR="0039141E" w:rsidRDefault="0039141E">
      <w:pPr>
        <w:jc w:val="center"/>
        <w:rPr>
          <w:b/>
          <w:bCs/>
        </w:rPr>
      </w:pPr>
    </w:p>
    <w:p w14:paraId="0CB4B5E1" w14:textId="77777777" w:rsidR="0072097E" w:rsidRDefault="00000000">
      <w:pPr>
        <w:jc w:val="center"/>
      </w:pPr>
      <w:r>
        <w:rPr>
          <w:b/>
          <w:bCs/>
        </w:rPr>
        <w:lastRenderedPageBreak/>
        <w:t>Tabla 2.</w:t>
      </w:r>
      <w:r>
        <w:t xml:space="preserve"> Estructura de cargos que componen las tarifas máximas iniciales</w:t>
      </w:r>
    </w:p>
    <w:tbl>
      <w:tblPr>
        <w:tblStyle w:val="Tablaconcuadrcula"/>
        <w:tblW w:w="8838" w:type="dxa"/>
        <w:jc w:val="center"/>
        <w:tblLayout w:type="fixed"/>
        <w:tblLook w:val="04A0" w:firstRow="1" w:lastRow="0" w:firstColumn="1" w:lastColumn="0" w:noHBand="0" w:noVBand="1"/>
      </w:tblPr>
      <w:tblGrid>
        <w:gridCol w:w="891"/>
        <w:gridCol w:w="6103"/>
        <w:gridCol w:w="1844"/>
      </w:tblGrid>
      <w:tr w:rsidR="0072097E" w:rsidRPr="000E2659" w14:paraId="597AA0EE" w14:textId="77777777" w:rsidTr="000E2659">
        <w:trPr>
          <w:trHeight w:val="123"/>
          <w:jc w:val="center"/>
        </w:trPr>
        <w:tc>
          <w:tcPr>
            <w:tcW w:w="891" w:type="dxa"/>
          </w:tcPr>
          <w:p w14:paraId="0BB23E0D" w14:textId="77777777" w:rsidR="0072097E" w:rsidRPr="000E2659" w:rsidRDefault="00000000">
            <w:pPr>
              <w:spacing w:before="120" w:after="120" w:line="360" w:lineRule="auto"/>
              <w:jc w:val="center"/>
            </w:pPr>
            <w:r w:rsidRPr="000E2659">
              <w:t>Cargo</w:t>
            </w:r>
          </w:p>
        </w:tc>
        <w:tc>
          <w:tcPr>
            <w:tcW w:w="6103" w:type="dxa"/>
          </w:tcPr>
          <w:p w14:paraId="50032CDF" w14:textId="77777777" w:rsidR="0072097E" w:rsidRPr="000E2659" w:rsidRDefault="00000000">
            <w:pPr>
              <w:spacing w:before="120" w:after="120" w:line="360" w:lineRule="auto"/>
              <w:jc w:val="center"/>
            </w:pPr>
            <w:r w:rsidRPr="000E2659">
              <w:t xml:space="preserve">Definición </w:t>
            </w:r>
          </w:p>
        </w:tc>
        <w:tc>
          <w:tcPr>
            <w:tcW w:w="1844" w:type="dxa"/>
          </w:tcPr>
          <w:p w14:paraId="24DD510A" w14:textId="77777777" w:rsidR="0072097E" w:rsidRPr="000E2659" w:rsidRDefault="00000000">
            <w:pPr>
              <w:spacing w:before="120" w:after="120" w:line="360" w:lineRule="auto"/>
              <w:jc w:val="center"/>
            </w:pPr>
            <w:r w:rsidRPr="000E2659">
              <w:t>Término usado por la CRE</w:t>
            </w:r>
          </w:p>
        </w:tc>
      </w:tr>
      <w:tr w:rsidR="0072097E" w:rsidRPr="000E2659" w14:paraId="4CE39EE6" w14:textId="77777777" w:rsidTr="000E2659">
        <w:trPr>
          <w:trHeight w:val="1072"/>
          <w:jc w:val="center"/>
        </w:trPr>
        <w:tc>
          <w:tcPr>
            <w:tcW w:w="891" w:type="dxa"/>
            <w:vAlign w:val="center"/>
          </w:tcPr>
          <w:p w14:paraId="507CC26C" w14:textId="77777777" w:rsidR="0072097E" w:rsidRPr="000E2659" w:rsidRDefault="00000000">
            <w:pPr>
              <w:spacing w:before="120" w:after="120" w:line="360" w:lineRule="auto"/>
            </w:pPr>
            <w:r w:rsidRPr="000E2659">
              <w:t>Servicio</w:t>
            </w:r>
          </w:p>
        </w:tc>
        <w:tc>
          <w:tcPr>
            <w:tcW w:w="6103" w:type="dxa"/>
            <w:vAlign w:val="center"/>
          </w:tcPr>
          <w:p w14:paraId="5D3B7BA7" w14:textId="77777777" w:rsidR="0072097E" w:rsidRPr="000E2659" w:rsidRDefault="00000000">
            <w:pPr>
              <w:spacing w:before="120" w:after="120" w:line="360" w:lineRule="auto"/>
            </w:pPr>
            <w:r w:rsidRPr="000E2659">
              <w:t>Recupera los costos relacionados con la lectura y mantenimiento de medidores, facturación y con actividades inherentes a la prestación del servicio. Es un monto fijo mensual.</w:t>
            </w:r>
          </w:p>
          <w:p w14:paraId="4E03AE60" w14:textId="77777777" w:rsidR="0072097E" w:rsidRPr="000E2659" w:rsidRDefault="00000000">
            <w:pPr>
              <w:spacing w:before="120" w:after="120" w:line="360" w:lineRule="auto"/>
            </w:pPr>
            <w:r w:rsidRPr="000E2659">
              <w:t>Unidad: $/mes</w:t>
            </w:r>
          </w:p>
        </w:tc>
        <w:tc>
          <w:tcPr>
            <w:tcW w:w="1844" w:type="dxa"/>
            <w:vAlign w:val="center"/>
          </w:tcPr>
          <w:p w14:paraId="7E458A9D" w14:textId="77777777" w:rsidR="0072097E" w:rsidRPr="000E2659" w:rsidRDefault="00000000">
            <w:pPr>
              <w:spacing w:before="120" w:after="120" w:line="360" w:lineRule="auto"/>
              <w:jc w:val="center"/>
            </w:pPr>
            <w:r w:rsidRPr="000E2659">
              <w:t>Servicio</w:t>
            </w:r>
          </w:p>
        </w:tc>
      </w:tr>
      <w:tr w:rsidR="0072097E" w:rsidRPr="000E2659" w14:paraId="51FB4B0C" w14:textId="77777777" w:rsidTr="000E2659">
        <w:trPr>
          <w:trHeight w:val="863"/>
          <w:jc w:val="center"/>
        </w:trPr>
        <w:tc>
          <w:tcPr>
            <w:tcW w:w="891" w:type="dxa"/>
            <w:vAlign w:val="center"/>
          </w:tcPr>
          <w:p w14:paraId="5353ACC1" w14:textId="77777777" w:rsidR="0072097E" w:rsidRPr="000E2659" w:rsidRDefault="00000000">
            <w:pPr>
              <w:spacing w:before="120" w:after="120" w:line="360" w:lineRule="auto"/>
            </w:pPr>
            <w:r w:rsidRPr="000E2659">
              <w:t>Capacidad</w:t>
            </w:r>
          </w:p>
        </w:tc>
        <w:tc>
          <w:tcPr>
            <w:tcW w:w="6103" w:type="dxa"/>
            <w:vAlign w:val="center"/>
          </w:tcPr>
          <w:p w14:paraId="4C1741BA" w14:textId="77777777" w:rsidR="0072097E" w:rsidRPr="000E2659" w:rsidRDefault="00000000">
            <w:pPr>
              <w:spacing w:before="120" w:after="120" w:line="360" w:lineRule="auto"/>
            </w:pPr>
            <w:r w:rsidRPr="000E2659">
              <w:t>Recupera los costos fijos que forman parte del RI asignado al grupo tarifario respectivo.</w:t>
            </w:r>
          </w:p>
          <w:p w14:paraId="33415FB4" w14:textId="77777777" w:rsidR="0072097E" w:rsidRPr="000E2659" w:rsidRDefault="00000000">
            <w:pPr>
              <w:spacing w:before="120" w:after="120" w:line="360" w:lineRule="auto"/>
            </w:pPr>
            <w:r w:rsidRPr="000E2659">
              <w:t>Unidad: $/gas conducido</w:t>
            </w:r>
          </w:p>
        </w:tc>
        <w:tc>
          <w:tcPr>
            <w:tcW w:w="1844" w:type="dxa"/>
            <w:vMerge w:val="restart"/>
            <w:vAlign w:val="center"/>
          </w:tcPr>
          <w:p w14:paraId="6E013BC7" w14:textId="77777777" w:rsidR="0072097E" w:rsidRPr="000E2659" w:rsidRDefault="00000000">
            <w:pPr>
              <w:spacing w:before="120" w:after="120" w:line="360" w:lineRule="auto"/>
              <w:jc w:val="center"/>
            </w:pPr>
            <w:r w:rsidRPr="000E2659">
              <w:t>Distribución con comercialización</w:t>
            </w:r>
          </w:p>
          <w:p w14:paraId="405F34C2" w14:textId="77777777" w:rsidR="0072097E" w:rsidRPr="000E2659" w:rsidRDefault="0072097E">
            <w:pPr>
              <w:spacing w:before="120" w:after="120" w:line="360" w:lineRule="auto"/>
              <w:jc w:val="center"/>
            </w:pPr>
          </w:p>
          <w:p w14:paraId="1F77CCDF" w14:textId="77777777" w:rsidR="0072097E" w:rsidRPr="000E2659" w:rsidRDefault="00000000">
            <w:pPr>
              <w:spacing w:before="120" w:after="120" w:line="360" w:lineRule="auto"/>
              <w:jc w:val="center"/>
            </w:pPr>
            <w:r w:rsidRPr="000E2659">
              <w:t>Unidad: $/GJ</w:t>
            </w:r>
            <w:r w:rsidRPr="000E2659">
              <w:rPr>
                <w:rStyle w:val="Refdenotaalpie"/>
              </w:rPr>
              <w:footnoteReference w:id="5"/>
            </w:r>
          </w:p>
        </w:tc>
      </w:tr>
      <w:tr w:rsidR="0072097E" w:rsidRPr="000E2659" w14:paraId="402588EC" w14:textId="77777777" w:rsidTr="000E2659">
        <w:trPr>
          <w:trHeight w:val="288"/>
          <w:jc w:val="center"/>
        </w:trPr>
        <w:tc>
          <w:tcPr>
            <w:tcW w:w="891" w:type="dxa"/>
            <w:vAlign w:val="center"/>
          </w:tcPr>
          <w:p w14:paraId="307AE281" w14:textId="77777777" w:rsidR="0072097E" w:rsidRPr="000E2659" w:rsidRDefault="00000000">
            <w:pPr>
              <w:spacing w:before="120" w:after="120" w:line="360" w:lineRule="auto"/>
            </w:pPr>
            <w:r w:rsidRPr="000E2659">
              <w:t>Uso</w:t>
            </w:r>
          </w:p>
        </w:tc>
        <w:tc>
          <w:tcPr>
            <w:tcW w:w="6103" w:type="dxa"/>
            <w:vAlign w:val="center"/>
          </w:tcPr>
          <w:p w14:paraId="75502BDA" w14:textId="77777777" w:rsidR="0072097E" w:rsidRPr="000E2659" w:rsidRDefault="00000000">
            <w:pPr>
              <w:spacing w:before="120" w:after="120" w:line="360" w:lineRule="auto"/>
            </w:pPr>
            <w:r w:rsidRPr="000E2659">
              <w:t>Recupera los costos variables que forman parte del RI asignado al grupo tarifario respectivo.</w:t>
            </w:r>
          </w:p>
          <w:p w14:paraId="1FAF44DB" w14:textId="77777777" w:rsidR="0072097E" w:rsidRPr="000E2659" w:rsidRDefault="00000000">
            <w:pPr>
              <w:spacing w:before="120" w:after="120" w:line="360" w:lineRule="auto"/>
            </w:pPr>
            <w:r w:rsidRPr="000E2659">
              <w:t xml:space="preserve">Unidad: $/gas conducido  </w:t>
            </w:r>
          </w:p>
        </w:tc>
        <w:tc>
          <w:tcPr>
            <w:tcW w:w="1844" w:type="dxa"/>
            <w:vMerge/>
          </w:tcPr>
          <w:p w14:paraId="21F14660" w14:textId="77777777" w:rsidR="0072097E" w:rsidRPr="000E2659" w:rsidRDefault="0072097E">
            <w:pPr>
              <w:spacing w:before="120" w:after="120" w:line="360" w:lineRule="auto"/>
              <w:jc w:val="both"/>
            </w:pPr>
          </w:p>
        </w:tc>
      </w:tr>
    </w:tbl>
    <w:p w14:paraId="7B029A7A" w14:textId="0E682926" w:rsidR="0072097E" w:rsidRPr="000E2659" w:rsidRDefault="00000000">
      <w:pPr>
        <w:spacing w:before="120" w:after="120"/>
        <w:jc w:val="center"/>
      </w:pPr>
      <w:r w:rsidRPr="000E2659">
        <w:t>Fuente: Elaboración propia con base en CRE (2007)</w:t>
      </w:r>
    </w:p>
    <w:p w14:paraId="2DED24DF" w14:textId="77777777" w:rsidR="0072097E" w:rsidRDefault="00000000">
      <w:pPr>
        <w:spacing w:before="120" w:after="120" w:line="360" w:lineRule="auto"/>
        <w:jc w:val="both"/>
        <w:rPr>
          <w:lang w:val="es-ES"/>
        </w:rPr>
      </w:pPr>
      <w:r>
        <w:rPr>
          <w:lang w:val="es-ES"/>
        </w:rPr>
        <w:tab/>
        <w:t>Finalmente, "las tarifas máximas iniciales deben reflejar los requerimientos de capacidad de los diferentes grupos tarifarios durante el periodo pico del sistema de distribución". Esto debe ser acreditado por los distribuidores ante la CRE (disposición 8.2 de la Directiva de Tarifas). Sin embargo, no existe información pública al respecto.</w:t>
      </w:r>
    </w:p>
    <w:p w14:paraId="7DAC3DE0" w14:textId="77777777" w:rsidR="0072097E" w:rsidRDefault="0072097E" w:rsidP="000E2659">
      <w:pPr>
        <w:spacing w:line="360" w:lineRule="auto"/>
        <w:jc w:val="both"/>
      </w:pPr>
    </w:p>
    <w:p w14:paraId="53CEA36C" w14:textId="77777777" w:rsidR="0072097E" w:rsidRDefault="00000000" w:rsidP="000E2659">
      <w:pPr>
        <w:spacing w:line="360" w:lineRule="auto"/>
        <w:jc w:val="center"/>
        <w:rPr>
          <w:b/>
          <w:bCs/>
        </w:rPr>
      </w:pPr>
      <w:r>
        <w:rPr>
          <w:b/>
          <w:bCs/>
        </w:rPr>
        <w:t>Falta de transparencia en el caso analizado</w:t>
      </w:r>
    </w:p>
    <w:p w14:paraId="3960598D" w14:textId="77777777" w:rsidR="0072097E" w:rsidRDefault="00000000" w:rsidP="000E2659">
      <w:pPr>
        <w:spacing w:line="360" w:lineRule="auto"/>
        <w:jc w:val="both"/>
      </w:pPr>
      <w:r>
        <w:t xml:space="preserve">De acuerdo con información estadística de la CRE (CRE, 2022), al cierre de junio de 2022, se encuentran operando en México 32 sistemas de distribución de gas natural por medio de ductos propiedad de empresas privadas, de los cuales 19 se encuentran en su cuarto proceso de revisión quinquenal de tarifas aplicables para el quinto periodo de cinco años. </w:t>
      </w:r>
    </w:p>
    <w:p w14:paraId="40583E9B" w14:textId="77777777" w:rsidR="0072097E" w:rsidRDefault="00000000" w:rsidP="000E2659">
      <w:pPr>
        <w:spacing w:line="360" w:lineRule="auto"/>
        <w:jc w:val="both"/>
      </w:pPr>
      <w:r>
        <w:lastRenderedPageBreak/>
        <w:tab/>
        <w:t>Entre ellos se encuentra el sistema de distribución de la zona geográfica de la Ciudad de México cuyo titular es una empresa que no presentó al órgano regulador el RI para el periodo 2016-2020 por cada grupo tarifario. Sin embargo, la CRE en su resolución número RES/055/2016 (CRE, 2016), por la que determina la lista de tarifas máximas, presentó el RI para todo el periodo quinquenal por cada grupo tarifario, sin brindar la información sobre la estructura de costos y los criterios que se establecieron para la asignación de activos y costos tanto por tipo de usuario como los comunes, metodología que es una parte fundamental de la determinación de las tarifas de distribución.</w:t>
      </w:r>
    </w:p>
    <w:p w14:paraId="1466859F" w14:textId="1EACDBFE" w:rsidR="0072097E" w:rsidRDefault="00000000" w:rsidP="000E2659">
      <w:pPr>
        <w:spacing w:line="360" w:lineRule="auto"/>
        <w:jc w:val="both"/>
      </w:pPr>
      <w:r>
        <w:tab/>
        <w:t>Esto constituye un patrón para los 19 sistemas de distribución que se muestran en la Tabla 1 ya mencionada, dado lo cual el interés de este artículo es presentar un ejercicio de contabilidad regulatoria para reconstruir el proceso de cálculo que permitió al propio órgano regulador las asignaciones implícitas de los costos de las tarifas máximas autorizadas, en las resoluciones número RES/730/2015 (CRE, 2015) y RES/055/2016</w:t>
      </w:r>
      <w:r w:rsidR="00DB60C1">
        <w:t xml:space="preserve"> (CRE, 2016) </w:t>
      </w:r>
      <w:r>
        <w:t>, por las que se autorizó el RI y las tarifas máximas, respectivamente, aplicables al cuarto periodo quinquenal de operaciones (2016-2020), del servicio de distribución de gas natural en la Ciudad de México, las cuales siguen vigentes a la fecha (enero de 2023), con sus respectivos ajustes por inflación.</w:t>
      </w:r>
    </w:p>
    <w:p w14:paraId="3C20D8EA" w14:textId="77777777" w:rsidR="0072097E" w:rsidRDefault="0072097E" w:rsidP="000E2659">
      <w:pPr>
        <w:spacing w:line="360" w:lineRule="auto"/>
        <w:jc w:val="both"/>
        <w:rPr>
          <w:lang w:val="es-ES"/>
        </w:rPr>
      </w:pPr>
    </w:p>
    <w:p w14:paraId="532E4CAB" w14:textId="77777777" w:rsidR="0072097E" w:rsidRPr="000E2659" w:rsidRDefault="00000000" w:rsidP="000E2659">
      <w:pPr>
        <w:spacing w:line="360" w:lineRule="auto"/>
        <w:jc w:val="center"/>
        <w:rPr>
          <w:b/>
          <w:bCs/>
          <w:sz w:val="32"/>
          <w:szCs w:val="32"/>
          <w:lang w:val="es-ES"/>
        </w:rPr>
      </w:pPr>
      <w:r w:rsidRPr="000E2659">
        <w:rPr>
          <w:b/>
          <w:bCs/>
          <w:sz w:val="32"/>
          <w:szCs w:val="32"/>
          <w:lang w:val="es-ES"/>
        </w:rPr>
        <w:t>Metodología del análisis y resultados</w:t>
      </w:r>
    </w:p>
    <w:p w14:paraId="324016C9" w14:textId="77777777" w:rsidR="0072097E" w:rsidRDefault="00000000" w:rsidP="000E2659">
      <w:pPr>
        <w:spacing w:line="360" w:lineRule="auto"/>
        <w:jc w:val="both"/>
        <w:rPr>
          <w:lang w:val="es-ES"/>
        </w:rPr>
      </w:pPr>
      <w:bookmarkStart w:id="0" w:name="_Hlk108721034"/>
      <w:bookmarkEnd w:id="0"/>
      <w:r>
        <w:rPr>
          <w:lang w:val="es-ES"/>
        </w:rPr>
        <w:t xml:space="preserve">La investigación realizada para este texto es de índole aplicada y cuantitativa. Es un estudio de un caso de falta de información pública sobre el proceso integral de cálculo de tarifas que le fueron autorizadas a una empresa distribuidora de gas natural. La hipótesis es que el método de cálculo aplicado por los autores hace posible develar el conjunto de la información faltante, parte de la cual son los criterios de asignación de costos. El método de cálculo es de contabilidad aplicada a la regulación y, al ser un proceso reconstructivo, tiene un fundamento deductivo sin perder rigor contable ni regulatorio. </w:t>
      </w:r>
    </w:p>
    <w:p w14:paraId="5FB6EE9D" w14:textId="77777777" w:rsidR="0072097E" w:rsidRDefault="00000000" w:rsidP="000E2659">
      <w:pPr>
        <w:spacing w:line="360" w:lineRule="auto"/>
        <w:jc w:val="both"/>
      </w:pPr>
      <w:r>
        <w:tab/>
        <w:t>El proceso reconstructivo debe poder determinar la estructura de costos mostrada en la Figura 1, por cada grupo tarifario, es decir, en este caso por los 5 diferentes tipos de usuarios que estipula la Resolución RES/730/2015. En la Tabla 3 se muestran los datos disponibles para el inicio del proceso de cálculo, donde los publicados son los de las columnas (1) a (3), mientras que los demandados para el cálculo son los de las columnas (4) y (5).</w:t>
      </w:r>
      <w:bookmarkStart w:id="1" w:name="_Hlk138162114"/>
    </w:p>
    <w:p w14:paraId="01C07B56" w14:textId="77777777" w:rsidR="000E2659" w:rsidRDefault="000E2659" w:rsidP="000E2659">
      <w:pPr>
        <w:spacing w:line="360" w:lineRule="auto"/>
        <w:jc w:val="both"/>
        <w:rPr>
          <w:lang w:val="es-ES"/>
        </w:rPr>
      </w:pPr>
    </w:p>
    <w:bookmarkEnd w:id="1"/>
    <w:p w14:paraId="07ECF5D3" w14:textId="77777777" w:rsidR="0072097E" w:rsidRDefault="00000000" w:rsidP="000E2659">
      <w:pPr>
        <w:spacing w:line="360" w:lineRule="auto"/>
        <w:jc w:val="center"/>
        <w:rPr>
          <w:b/>
          <w:bCs/>
        </w:rPr>
      </w:pPr>
      <w:r>
        <w:rPr>
          <w:b/>
          <w:bCs/>
        </w:rPr>
        <w:lastRenderedPageBreak/>
        <w:t xml:space="preserve">Tabla 3. </w:t>
      </w:r>
      <w:r>
        <w:t>Datos públicos acerca de la tarifa de distribución de gas natural aprobada por la CRE para la empresa, por grupo de usuarios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17"/>
        <w:gridCol w:w="1486"/>
        <w:gridCol w:w="904"/>
        <w:gridCol w:w="1749"/>
        <w:gridCol w:w="897"/>
        <w:gridCol w:w="785"/>
      </w:tblGrid>
      <w:tr w:rsidR="0072097E" w:rsidRPr="000E2659" w14:paraId="2BAE4D59" w14:textId="77777777" w:rsidTr="000E2659">
        <w:trPr>
          <w:trHeight w:val="773"/>
        </w:trPr>
        <w:tc>
          <w:tcPr>
            <w:tcW w:w="3016" w:type="dxa"/>
            <w:shd w:val="clear" w:color="auto" w:fill="auto"/>
          </w:tcPr>
          <w:p w14:paraId="289F4BA3" w14:textId="77777777" w:rsidR="0072097E" w:rsidRPr="000E2659" w:rsidRDefault="00000000">
            <w:pPr>
              <w:widowControl w:val="0"/>
              <w:spacing w:line="360" w:lineRule="auto"/>
              <w:jc w:val="center"/>
              <w:rPr>
                <w:color w:val="000000"/>
              </w:rPr>
            </w:pPr>
            <w:r w:rsidRPr="000E2659">
              <w:rPr>
                <w:color w:val="000000"/>
              </w:rPr>
              <w:t>Grupo Tarifario</w:t>
            </w:r>
          </w:p>
        </w:tc>
        <w:tc>
          <w:tcPr>
            <w:tcW w:w="1486" w:type="dxa"/>
            <w:shd w:val="clear" w:color="auto" w:fill="auto"/>
          </w:tcPr>
          <w:p w14:paraId="02257799" w14:textId="77777777" w:rsidR="0072097E" w:rsidRPr="000E2659" w:rsidRDefault="00000000">
            <w:pPr>
              <w:widowControl w:val="0"/>
              <w:spacing w:line="360" w:lineRule="auto"/>
              <w:jc w:val="center"/>
              <w:rPr>
                <w:color w:val="000000"/>
              </w:rPr>
            </w:pPr>
            <w:r w:rsidRPr="000E2659">
              <w:rPr>
                <w:color w:val="000000"/>
              </w:rPr>
              <w:t>Requerimiento de Ingresos CRE</w:t>
            </w:r>
          </w:p>
        </w:tc>
        <w:tc>
          <w:tcPr>
            <w:tcW w:w="904" w:type="dxa"/>
            <w:shd w:val="clear" w:color="auto" w:fill="auto"/>
          </w:tcPr>
          <w:p w14:paraId="7269D1B7" w14:textId="77777777" w:rsidR="0072097E" w:rsidRPr="000E2659" w:rsidRDefault="00000000">
            <w:pPr>
              <w:widowControl w:val="0"/>
              <w:spacing w:line="360" w:lineRule="auto"/>
              <w:jc w:val="center"/>
              <w:rPr>
                <w:color w:val="000000"/>
              </w:rPr>
            </w:pPr>
            <w:r w:rsidRPr="000E2659">
              <w:rPr>
                <w:color w:val="000000"/>
              </w:rPr>
              <w:t>Cargo por Servicio</w:t>
            </w:r>
            <w:r w:rsidRPr="000E2659">
              <w:rPr>
                <w:color w:val="000000"/>
                <w:vertAlign w:val="superscript"/>
              </w:rPr>
              <w:br/>
            </w:r>
            <w:r w:rsidRPr="000E2659">
              <w:rPr>
                <w:color w:val="000000"/>
              </w:rPr>
              <w:t>($/mes)</w:t>
            </w:r>
          </w:p>
        </w:tc>
        <w:tc>
          <w:tcPr>
            <w:tcW w:w="1749" w:type="dxa"/>
            <w:shd w:val="clear" w:color="auto" w:fill="auto"/>
          </w:tcPr>
          <w:p w14:paraId="609F4EF8" w14:textId="77777777" w:rsidR="0072097E" w:rsidRPr="000E2659" w:rsidRDefault="00000000">
            <w:pPr>
              <w:widowControl w:val="0"/>
              <w:spacing w:line="360" w:lineRule="auto"/>
              <w:jc w:val="center"/>
              <w:rPr>
                <w:color w:val="000000"/>
              </w:rPr>
            </w:pPr>
            <w:r w:rsidRPr="000E2659">
              <w:rPr>
                <w:color w:val="000000"/>
              </w:rPr>
              <w:t>Cargo de Distribución con comercialización</w:t>
            </w:r>
            <w:r w:rsidRPr="000E2659">
              <w:rPr>
                <w:color w:val="000000"/>
              </w:rPr>
              <w:br/>
              <w:t>(pesos/GJ)</w:t>
            </w:r>
          </w:p>
        </w:tc>
        <w:tc>
          <w:tcPr>
            <w:tcW w:w="897" w:type="dxa"/>
            <w:shd w:val="clear" w:color="auto" w:fill="auto"/>
          </w:tcPr>
          <w:p w14:paraId="5AA569D1" w14:textId="77777777" w:rsidR="0072097E" w:rsidRPr="000E2659" w:rsidRDefault="00000000">
            <w:pPr>
              <w:widowControl w:val="0"/>
              <w:spacing w:line="360" w:lineRule="auto"/>
              <w:jc w:val="center"/>
              <w:rPr>
                <w:color w:val="000000"/>
              </w:rPr>
            </w:pPr>
            <w:r w:rsidRPr="000E2659">
              <w:rPr>
                <w:color w:val="000000"/>
              </w:rPr>
              <w:t>% No. de usuarios</w:t>
            </w:r>
          </w:p>
        </w:tc>
        <w:tc>
          <w:tcPr>
            <w:tcW w:w="785" w:type="dxa"/>
          </w:tcPr>
          <w:p w14:paraId="16D95C15" w14:textId="77777777" w:rsidR="0072097E" w:rsidRPr="000E2659" w:rsidRDefault="00000000">
            <w:pPr>
              <w:widowControl w:val="0"/>
              <w:spacing w:line="360" w:lineRule="auto"/>
              <w:jc w:val="center"/>
              <w:rPr>
                <w:color w:val="000000"/>
              </w:rPr>
            </w:pPr>
            <w:r w:rsidRPr="000E2659">
              <w:rPr>
                <w:color w:val="000000"/>
              </w:rPr>
              <w:t>% Energía</w:t>
            </w:r>
          </w:p>
        </w:tc>
      </w:tr>
      <w:tr w:rsidR="0072097E" w:rsidRPr="000E2659" w14:paraId="4614C4EC" w14:textId="77777777" w:rsidTr="000E2659">
        <w:trPr>
          <w:trHeight w:val="192"/>
        </w:trPr>
        <w:tc>
          <w:tcPr>
            <w:tcW w:w="3016" w:type="dxa"/>
            <w:shd w:val="clear" w:color="auto" w:fill="auto"/>
          </w:tcPr>
          <w:p w14:paraId="58DA2041" w14:textId="77777777" w:rsidR="0072097E" w:rsidRPr="000E2659" w:rsidRDefault="0072097E">
            <w:pPr>
              <w:widowControl w:val="0"/>
              <w:spacing w:line="360" w:lineRule="auto"/>
              <w:jc w:val="center"/>
              <w:rPr>
                <w:color w:val="000000"/>
              </w:rPr>
            </w:pPr>
          </w:p>
        </w:tc>
        <w:tc>
          <w:tcPr>
            <w:tcW w:w="1486" w:type="dxa"/>
            <w:shd w:val="clear" w:color="auto" w:fill="auto"/>
          </w:tcPr>
          <w:p w14:paraId="43143E0C" w14:textId="77777777" w:rsidR="0072097E" w:rsidRPr="000E2659" w:rsidRDefault="00000000">
            <w:pPr>
              <w:widowControl w:val="0"/>
              <w:spacing w:line="360" w:lineRule="auto"/>
              <w:jc w:val="center"/>
              <w:rPr>
                <w:color w:val="000000"/>
              </w:rPr>
            </w:pPr>
            <w:r w:rsidRPr="000E2659">
              <w:rPr>
                <w:color w:val="000000"/>
              </w:rPr>
              <w:t>(1)</w:t>
            </w:r>
          </w:p>
        </w:tc>
        <w:tc>
          <w:tcPr>
            <w:tcW w:w="904" w:type="dxa"/>
            <w:shd w:val="clear" w:color="auto" w:fill="auto"/>
          </w:tcPr>
          <w:p w14:paraId="7A9D236E" w14:textId="77777777" w:rsidR="0072097E" w:rsidRPr="000E2659" w:rsidRDefault="00000000">
            <w:pPr>
              <w:widowControl w:val="0"/>
              <w:spacing w:line="360" w:lineRule="auto"/>
              <w:jc w:val="center"/>
              <w:rPr>
                <w:color w:val="000000"/>
              </w:rPr>
            </w:pPr>
            <w:r w:rsidRPr="000E2659">
              <w:rPr>
                <w:color w:val="000000"/>
              </w:rPr>
              <w:t>(2)</w:t>
            </w:r>
          </w:p>
        </w:tc>
        <w:tc>
          <w:tcPr>
            <w:tcW w:w="1749" w:type="dxa"/>
            <w:shd w:val="clear" w:color="auto" w:fill="auto"/>
          </w:tcPr>
          <w:p w14:paraId="79652154" w14:textId="77777777" w:rsidR="0072097E" w:rsidRPr="000E2659" w:rsidRDefault="00000000">
            <w:pPr>
              <w:widowControl w:val="0"/>
              <w:spacing w:line="360" w:lineRule="auto"/>
              <w:jc w:val="center"/>
              <w:rPr>
                <w:color w:val="000000"/>
              </w:rPr>
            </w:pPr>
            <w:r w:rsidRPr="000E2659">
              <w:rPr>
                <w:color w:val="000000"/>
              </w:rPr>
              <w:t>(3)</w:t>
            </w:r>
          </w:p>
        </w:tc>
        <w:tc>
          <w:tcPr>
            <w:tcW w:w="897" w:type="dxa"/>
            <w:shd w:val="clear" w:color="auto" w:fill="auto"/>
          </w:tcPr>
          <w:p w14:paraId="37BC82C9" w14:textId="77777777" w:rsidR="0072097E" w:rsidRPr="000E2659" w:rsidRDefault="00000000">
            <w:pPr>
              <w:widowControl w:val="0"/>
              <w:spacing w:line="360" w:lineRule="auto"/>
              <w:jc w:val="center"/>
              <w:rPr>
                <w:color w:val="000000"/>
              </w:rPr>
            </w:pPr>
            <w:r w:rsidRPr="000E2659">
              <w:rPr>
                <w:color w:val="000000"/>
              </w:rPr>
              <w:t>(4)</w:t>
            </w:r>
          </w:p>
        </w:tc>
        <w:tc>
          <w:tcPr>
            <w:tcW w:w="785" w:type="dxa"/>
          </w:tcPr>
          <w:p w14:paraId="55F228D1" w14:textId="77777777" w:rsidR="0072097E" w:rsidRPr="000E2659" w:rsidRDefault="00000000">
            <w:pPr>
              <w:widowControl w:val="0"/>
              <w:spacing w:line="360" w:lineRule="auto"/>
              <w:jc w:val="center"/>
              <w:rPr>
                <w:color w:val="000000"/>
              </w:rPr>
            </w:pPr>
            <w:r w:rsidRPr="000E2659">
              <w:rPr>
                <w:color w:val="000000"/>
              </w:rPr>
              <w:t>(5)</w:t>
            </w:r>
          </w:p>
        </w:tc>
      </w:tr>
      <w:tr w:rsidR="0072097E" w:rsidRPr="000E2659" w14:paraId="682217DF" w14:textId="77777777" w:rsidTr="000E2659">
        <w:trPr>
          <w:trHeight w:val="320"/>
        </w:trPr>
        <w:tc>
          <w:tcPr>
            <w:tcW w:w="3016" w:type="dxa"/>
            <w:shd w:val="clear" w:color="auto" w:fill="auto"/>
          </w:tcPr>
          <w:p w14:paraId="25D37A43" w14:textId="77777777" w:rsidR="0072097E" w:rsidRPr="000E2659" w:rsidRDefault="00000000">
            <w:pPr>
              <w:widowControl w:val="0"/>
              <w:spacing w:line="360" w:lineRule="auto"/>
              <w:rPr>
                <w:color w:val="000000"/>
              </w:rPr>
            </w:pPr>
            <w:r w:rsidRPr="000E2659">
              <w:rPr>
                <w:color w:val="000000"/>
              </w:rPr>
              <w:t>Residencial</w:t>
            </w:r>
          </w:p>
        </w:tc>
        <w:tc>
          <w:tcPr>
            <w:tcW w:w="1486" w:type="dxa"/>
            <w:shd w:val="clear" w:color="auto" w:fill="auto"/>
          </w:tcPr>
          <w:p w14:paraId="3D061EBA" w14:textId="77777777" w:rsidR="0072097E" w:rsidRPr="000E2659" w:rsidRDefault="00000000">
            <w:pPr>
              <w:widowControl w:val="0"/>
              <w:spacing w:line="360" w:lineRule="auto"/>
              <w:jc w:val="right"/>
              <w:rPr>
                <w:color w:val="000000"/>
              </w:rPr>
            </w:pPr>
            <w:r w:rsidRPr="000E2659">
              <w:rPr>
                <w:color w:val="000000"/>
              </w:rPr>
              <w:t>4,366,872,330</w:t>
            </w:r>
          </w:p>
        </w:tc>
        <w:tc>
          <w:tcPr>
            <w:tcW w:w="904" w:type="dxa"/>
            <w:shd w:val="clear" w:color="auto" w:fill="auto"/>
          </w:tcPr>
          <w:p w14:paraId="2ED59CDD" w14:textId="77777777" w:rsidR="0072097E" w:rsidRPr="000E2659" w:rsidRDefault="00000000">
            <w:pPr>
              <w:widowControl w:val="0"/>
              <w:spacing w:line="360" w:lineRule="auto"/>
              <w:jc w:val="right"/>
              <w:rPr>
                <w:color w:val="000000"/>
              </w:rPr>
            </w:pPr>
            <w:r w:rsidRPr="000E2659">
              <w:rPr>
                <w:color w:val="000000"/>
              </w:rPr>
              <w:t>42</w:t>
            </w:r>
          </w:p>
        </w:tc>
        <w:tc>
          <w:tcPr>
            <w:tcW w:w="1749" w:type="dxa"/>
            <w:shd w:val="clear" w:color="auto" w:fill="auto"/>
          </w:tcPr>
          <w:p w14:paraId="53EF9536" w14:textId="77777777" w:rsidR="0072097E" w:rsidRPr="000E2659" w:rsidRDefault="00000000">
            <w:pPr>
              <w:widowControl w:val="0"/>
              <w:spacing w:line="360" w:lineRule="auto"/>
              <w:jc w:val="right"/>
              <w:rPr>
                <w:color w:val="000000"/>
              </w:rPr>
            </w:pPr>
            <w:r w:rsidRPr="000E2659">
              <w:rPr>
                <w:color w:val="000000"/>
              </w:rPr>
              <w:t>94.3575</w:t>
            </w:r>
          </w:p>
        </w:tc>
        <w:tc>
          <w:tcPr>
            <w:tcW w:w="897" w:type="dxa"/>
            <w:shd w:val="clear" w:color="auto" w:fill="auto"/>
          </w:tcPr>
          <w:p w14:paraId="293C2B09" w14:textId="77777777" w:rsidR="0072097E" w:rsidRPr="000E2659" w:rsidRDefault="00000000">
            <w:pPr>
              <w:widowControl w:val="0"/>
              <w:spacing w:line="360" w:lineRule="auto"/>
              <w:jc w:val="right"/>
              <w:rPr>
                <w:color w:val="000000"/>
              </w:rPr>
            </w:pPr>
            <w:r w:rsidRPr="000E2659">
              <w:rPr>
                <w:color w:val="000000"/>
              </w:rPr>
              <w:t>98.7%</w:t>
            </w:r>
          </w:p>
        </w:tc>
        <w:tc>
          <w:tcPr>
            <w:tcW w:w="785" w:type="dxa"/>
          </w:tcPr>
          <w:p w14:paraId="044BB9C3" w14:textId="77777777" w:rsidR="0072097E" w:rsidRPr="000E2659" w:rsidRDefault="00000000">
            <w:pPr>
              <w:widowControl w:val="0"/>
              <w:spacing w:line="360" w:lineRule="auto"/>
              <w:jc w:val="right"/>
              <w:rPr>
                <w:color w:val="000000"/>
              </w:rPr>
            </w:pPr>
            <w:r w:rsidRPr="000E2659">
              <w:rPr>
                <w:color w:val="000000"/>
              </w:rPr>
              <w:t>21.7%</w:t>
            </w:r>
          </w:p>
        </w:tc>
      </w:tr>
      <w:tr w:rsidR="0072097E" w:rsidRPr="000E2659" w14:paraId="26BAF350" w14:textId="77777777" w:rsidTr="000E2659">
        <w:trPr>
          <w:trHeight w:val="320"/>
        </w:trPr>
        <w:tc>
          <w:tcPr>
            <w:tcW w:w="3016" w:type="dxa"/>
            <w:shd w:val="clear" w:color="auto" w:fill="auto"/>
          </w:tcPr>
          <w:p w14:paraId="7EFAC264" w14:textId="77777777" w:rsidR="0072097E" w:rsidRPr="000E2659" w:rsidRDefault="00000000">
            <w:pPr>
              <w:widowControl w:val="0"/>
              <w:spacing w:line="360" w:lineRule="auto"/>
              <w:rPr>
                <w:color w:val="000000"/>
              </w:rPr>
            </w:pPr>
            <w:r w:rsidRPr="000E2659">
              <w:rPr>
                <w:color w:val="000000"/>
              </w:rPr>
              <w:t>Comercial</w:t>
            </w:r>
          </w:p>
        </w:tc>
        <w:tc>
          <w:tcPr>
            <w:tcW w:w="1486" w:type="dxa"/>
            <w:shd w:val="clear" w:color="auto" w:fill="auto"/>
          </w:tcPr>
          <w:p w14:paraId="7500643F" w14:textId="77777777" w:rsidR="0072097E" w:rsidRPr="000E2659" w:rsidRDefault="00000000">
            <w:pPr>
              <w:widowControl w:val="0"/>
              <w:spacing w:line="360" w:lineRule="auto"/>
              <w:jc w:val="right"/>
              <w:rPr>
                <w:color w:val="000000"/>
              </w:rPr>
            </w:pPr>
            <w:r w:rsidRPr="000E2659">
              <w:rPr>
                <w:color w:val="000000"/>
              </w:rPr>
              <w:t>285,516,910</w:t>
            </w:r>
          </w:p>
        </w:tc>
        <w:tc>
          <w:tcPr>
            <w:tcW w:w="904" w:type="dxa"/>
            <w:shd w:val="clear" w:color="auto" w:fill="auto"/>
          </w:tcPr>
          <w:p w14:paraId="2B12B0B6" w14:textId="77777777" w:rsidR="0072097E" w:rsidRPr="000E2659" w:rsidRDefault="00000000">
            <w:pPr>
              <w:widowControl w:val="0"/>
              <w:spacing w:line="360" w:lineRule="auto"/>
              <w:jc w:val="right"/>
              <w:rPr>
                <w:color w:val="000000"/>
              </w:rPr>
            </w:pPr>
            <w:r w:rsidRPr="000E2659">
              <w:rPr>
                <w:color w:val="000000"/>
              </w:rPr>
              <w:t>100</w:t>
            </w:r>
          </w:p>
        </w:tc>
        <w:tc>
          <w:tcPr>
            <w:tcW w:w="1749" w:type="dxa"/>
            <w:shd w:val="clear" w:color="auto" w:fill="auto"/>
          </w:tcPr>
          <w:p w14:paraId="0711F848" w14:textId="77777777" w:rsidR="0072097E" w:rsidRPr="000E2659" w:rsidRDefault="00000000">
            <w:pPr>
              <w:widowControl w:val="0"/>
              <w:spacing w:line="360" w:lineRule="auto"/>
              <w:jc w:val="right"/>
              <w:rPr>
                <w:color w:val="000000"/>
              </w:rPr>
            </w:pPr>
            <w:r w:rsidRPr="000E2659">
              <w:rPr>
                <w:color w:val="000000"/>
              </w:rPr>
              <w:t>42.6721</w:t>
            </w:r>
          </w:p>
        </w:tc>
        <w:tc>
          <w:tcPr>
            <w:tcW w:w="897" w:type="dxa"/>
            <w:shd w:val="clear" w:color="auto" w:fill="auto"/>
          </w:tcPr>
          <w:p w14:paraId="576EA48B" w14:textId="77777777" w:rsidR="0072097E" w:rsidRPr="000E2659" w:rsidRDefault="00000000">
            <w:pPr>
              <w:widowControl w:val="0"/>
              <w:spacing w:line="360" w:lineRule="auto"/>
              <w:jc w:val="right"/>
              <w:rPr>
                <w:color w:val="000000"/>
              </w:rPr>
            </w:pPr>
            <w:r w:rsidRPr="000E2659">
              <w:rPr>
                <w:color w:val="000000"/>
              </w:rPr>
              <w:t>1.2%</w:t>
            </w:r>
          </w:p>
        </w:tc>
        <w:tc>
          <w:tcPr>
            <w:tcW w:w="785" w:type="dxa"/>
          </w:tcPr>
          <w:p w14:paraId="4AAB3FCA" w14:textId="77777777" w:rsidR="0072097E" w:rsidRPr="000E2659" w:rsidRDefault="00000000">
            <w:pPr>
              <w:widowControl w:val="0"/>
              <w:spacing w:line="360" w:lineRule="auto"/>
              <w:jc w:val="right"/>
              <w:rPr>
                <w:color w:val="000000"/>
              </w:rPr>
            </w:pPr>
            <w:r w:rsidRPr="000E2659">
              <w:rPr>
                <w:color w:val="000000"/>
              </w:rPr>
              <w:t>3.9%</w:t>
            </w:r>
          </w:p>
        </w:tc>
      </w:tr>
      <w:tr w:rsidR="0072097E" w:rsidRPr="000E2659" w14:paraId="2E893620" w14:textId="77777777" w:rsidTr="000E2659">
        <w:trPr>
          <w:trHeight w:val="380"/>
        </w:trPr>
        <w:tc>
          <w:tcPr>
            <w:tcW w:w="3016" w:type="dxa"/>
            <w:shd w:val="clear" w:color="auto" w:fill="auto"/>
          </w:tcPr>
          <w:p w14:paraId="6D15101D" w14:textId="77777777" w:rsidR="0072097E" w:rsidRPr="000E2659" w:rsidRDefault="00000000">
            <w:pPr>
              <w:widowControl w:val="0"/>
              <w:spacing w:line="360" w:lineRule="auto"/>
              <w:rPr>
                <w:color w:val="000000"/>
              </w:rPr>
            </w:pPr>
            <w:r w:rsidRPr="000E2659">
              <w:rPr>
                <w:color w:val="000000"/>
              </w:rPr>
              <w:t>Gran comercial-Pequeño Industrial</w:t>
            </w:r>
            <w:r w:rsidRPr="000E2659">
              <w:rPr>
                <w:color w:val="000000"/>
                <w:vertAlign w:val="superscript"/>
              </w:rPr>
              <w:t>1</w:t>
            </w:r>
          </w:p>
        </w:tc>
        <w:tc>
          <w:tcPr>
            <w:tcW w:w="1486" w:type="dxa"/>
            <w:shd w:val="clear" w:color="auto" w:fill="auto"/>
          </w:tcPr>
          <w:p w14:paraId="5C181062" w14:textId="77777777" w:rsidR="0072097E" w:rsidRPr="000E2659" w:rsidRDefault="00000000">
            <w:pPr>
              <w:widowControl w:val="0"/>
              <w:spacing w:line="360" w:lineRule="auto"/>
              <w:jc w:val="right"/>
              <w:rPr>
                <w:color w:val="000000"/>
              </w:rPr>
            </w:pPr>
            <w:r w:rsidRPr="000E2659">
              <w:rPr>
                <w:color w:val="000000"/>
              </w:rPr>
              <w:t>513,835,032</w:t>
            </w:r>
          </w:p>
        </w:tc>
        <w:tc>
          <w:tcPr>
            <w:tcW w:w="904" w:type="dxa"/>
            <w:shd w:val="clear" w:color="auto" w:fill="auto"/>
          </w:tcPr>
          <w:p w14:paraId="22397684" w14:textId="77777777" w:rsidR="0072097E" w:rsidRPr="000E2659" w:rsidRDefault="00000000">
            <w:pPr>
              <w:widowControl w:val="0"/>
              <w:spacing w:line="360" w:lineRule="auto"/>
              <w:jc w:val="right"/>
              <w:rPr>
                <w:color w:val="000000"/>
              </w:rPr>
            </w:pPr>
            <w:r w:rsidRPr="000E2659">
              <w:rPr>
                <w:color w:val="000000"/>
              </w:rPr>
              <w:t>1,000</w:t>
            </w:r>
          </w:p>
        </w:tc>
        <w:tc>
          <w:tcPr>
            <w:tcW w:w="1749" w:type="dxa"/>
            <w:shd w:val="clear" w:color="auto" w:fill="auto"/>
          </w:tcPr>
          <w:p w14:paraId="1184638C" w14:textId="77777777" w:rsidR="0072097E" w:rsidRPr="000E2659" w:rsidRDefault="00000000">
            <w:pPr>
              <w:widowControl w:val="0"/>
              <w:spacing w:line="360" w:lineRule="auto"/>
              <w:jc w:val="right"/>
              <w:rPr>
                <w:color w:val="000000"/>
              </w:rPr>
            </w:pPr>
            <w:r w:rsidRPr="000E2659">
              <w:rPr>
                <w:color w:val="000000"/>
              </w:rPr>
              <w:t>N/A</w:t>
            </w:r>
          </w:p>
        </w:tc>
        <w:tc>
          <w:tcPr>
            <w:tcW w:w="897" w:type="dxa"/>
            <w:shd w:val="clear" w:color="auto" w:fill="auto"/>
          </w:tcPr>
          <w:p w14:paraId="1EEBB12D" w14:textId="77777777" w:rsidR="0072097E" w:rsidRPr="000E2659" w:rsidRDefault="00000000">
            <w:pPr>
              <w:widowControl w:val="0"/>
              <w:spacing w:line="360" w:lineRule="auto"/>
              <w:jc w:val="right"/>
              <w:rPr>
                <w:color w:val="000000"/>
              </w:rPr>
            </w:pPr>
            <w:r w:rsidRPr="000E2659">
              <w:rPr>
                <w:color w:val="000000"/>
              </w:rPr>
              <w:t>0.1%</w:t>
            </w:r>
          </w:p>
        </w:tc>
        <w:tc>
          <w:tcPr>
            <w:tcW w:w="785" w:type="dxa"/>
          </w:tcPr>
          <w:p w14:paraId="52F8D17B" w14:textId="77777777" w:rsidR="0072097E" w:rsidRPr="000E2659" w:rsidRDefault="00000000">
            <w:pPr>
              <w:widowControl w:val="0"/>
              <w:spacing w:line="360" w:lineRule="auto"/>
              <w:jc w:val="right"/>
              <w:rPr>
                <w:color w:val="000000"/>
              </w:rPr>
            </w:pPr>
            <w:r w:rsidRPr="000E2659">
              <w:rPr>
                <w:color w:val="000000"/>
              </w:rPr>
              <w:t>9.6%</w:t>
            </w:r>
          </w:p>
        </w:tc>
      </w:tr>
      <w:tr w:rsidR="0072097E" w:rsidRPr="000E2659" w14:paraId="0279BCAD" w14:textId="77777777" w:rsidTr="000E2659">
        <w:trPr>
          <w:trHeight w:val="380"/>
        </w:trPr>
        <w:tc>
          <w:tcPr>
            <w:tcW w:w="3016" w:type="dxa"/>
            <w:shd w:val="clear" w:color="auto" w:fill="auto"/>
          </w:tcPr>
          <w:p w14:paraId="60EE2651" w14:textId="77777777" w:rsidR="0072097E" w:rsidRPr="000E2659" w:rsidRDefault="00000000">
            <w:pPr>
              <w:widowControl w:val="0"/>
              <w:spacing w:line="360" w:lineRule="auto"/>
              <w:rPr>
                <w:color w:val="000000"/>
              </w:rPr>
            </w:pPr>
            <w:r w:rsidRPr="000E2659">
              <w:rPr>
                <w:color w:val="000000"/>
              </w:rPr>
              <w:t>Gran Industrial</w:t>
            </w:r>
            <w:r w:rsidRPr="000E2659">
              <w:rPr>
                <w:color w:val="000000"/>
                <w:vertAlign w:val="superscript"/>
              </w:rPr>
              <w:t>1</w:t>
            </w:r>
          </w:p>
        </w:tc>
        <w:tc>
          <w:tcPr>
            <w:tcW w:w="1486" w:type="dxa"/>
            <w:shd w:val="clear" w:color="auto" w:fill="auto"/>
          </w:tcPr>
          <w:p w14:paraId="2B40D036" w14:textId="77777777" w:rsidR="0072097E" w:rsidRPr="000E2659" w:rsidRDefault="00000000">
            <w:pPr>
              <w:widowControl w:val="0"/>
              <w:spacing w:line="360" w:lineRule="auto"/>
              <w:jc w:val="right"/>
              <w:rPr>
                <w:color w:val="000000"/>
              </w:rPr>
            </w:pPr>
            <w:r w:rsidRPr="000E2659">
              <w:rPr>
                <w:color w:val="000000"/>
              </w:rPr>
              <w:t>1,079,795,206</w:t>
            </w:r>
          </w:p>
        </w:tc>
        <w:tc>
          <w:tcPr>
            <w:tcW w:w="904" w:type="dxa"/>
            <w:shd w:val="clear" w:color="auto" w:fill="auto"/>
          </w:tcPr>
          <w:p w14:paraId="708078D6" w14:textId="77777777" w:rsidR="0072097E" w:rsidRPr="000E2659" w:rsidRDefault="00000000">
            <w:pPr>
              <w:widowControl w:val="0"/>
              <w:spacing w:line="360" w:lineRule="auto"/>
              <w:jc w:val="right"/>
              <w:rPr>
                <w:color w:val="000000"/>
              </w:rPr>
            </w:pPr>
            <w:r w:rsidRPr="000E2659">
              <w:rPr>
                <w:color w:val="000000"/>
              </w:rPr>
              <w:t>5,000</w:t>
            </w:r>
          </w:p>
        </w:tc>
        <w:tc>
          <w:tcPr>
            <w:tcW w:w="1749" w:type="dxa"/>
            <w:shd w:val="clear" w:color="auto" w:fill="auto"/>
          </w:tcPr>
          <w:p w14:paraId="0BA8A60D" w14:textId="77777777" w:rsidR="0072097E" w:rsidRPr="000E2659" w:rsidRDefault="00000000">
            <w:pPr>
              <w:widowControl w:val="0"/>
              <w:spacing w:line="360" w:lineRule="auto"/>
              <w:jc w:val="right"/>
              <w:rPr>
                <w:color w:val="000000"/>
              </w:rPr>
            </w:pPr>
            <w:r w:rsidRPr="000E2659">
              <w:rPr>
                <w:color w:val="000000"/>
              </w:rPr>
              <w:t>N/A</w:t>
            </w:r>
          </w:p>
        </w:tc>
        <w:tc>
          <w:tcPr>
            <w:tcW w:w="897" w:type="dxa"/>
            <w:shd w:val="clear" w:color="auto" w:fill="auto"/>
          </w:tcPr>
          <w:p w14:paraId="5FF70162" w14:textId="77777777" w:rsidR="0072097E" w:rsidRPr="000E2659" w:rsidRDefault="00000000">
            <w:pPr>
              <w:widowControl w:val="0"/>
              <w:spacing w:line="360" w:lineRule="auto"/>
              <w:jc w:val="right"/>
              <w:rPr>
                <w:color w:val="000000"/>
              </w:rPr>
            </w:pPr>
            <w:r w:rsidRPr="000E2659">
              <w:rPr>
                <w:color w:val="000000"/>
              </w:rPr>
              <w:t>0.0%</w:t>
            </w:r>
          </w:p>
        </w:tc>
        <w:tc>
          <w:tcPr>
            <w:tcW w:w="785" w:type="dxa"/>
          </w:tcPr>
          <w:p w14:paraId="21FD0371" w14:textId="77777777" w:rsidR="0072097E" w:rsidRPr="000E2659" w:rsidRDefault="00000000">
            <w:pPr>
              <w:widowControl w:val="0"/>
              <w:spacing w:line="360" w:lineRule="auto"/>
              <w:jc w:val="right"/>
              <w:rPr>
                <w:color w:val="000000"/>
              </w:rPr>
            </w:pPr>
            <w:r w:rsidRPr="000E2659">
              <w:rPr>
                <w:color w:val="000000"/>
              </w:rPr>
              <w:t>64.9%</w:t>
            </w:r>
          </w:p>
        </w:tc>
      </w:tr>
      <w:tr w:rsidR="0072097E" w:rsidRPr="000E2659" w14:paraId="4421B388" w14:textId="77777777" w:rsidTr="000E2659">
        <w:trPr>
          <w:trHeight w:val="320"/>
        </w:trPr>
        <w:tc>
          <w:tcPr>
            <w:tcW w:w="3016" w:type="dxa"/>
            <w:shd w:val="clear" w:color="auto" w:fill="auto"/>
          </w:tcPr>
          <w:p w14:paraId="1347FC49" w14:textId="77777777" w:rsidR="0072097E" w:rsidRPr="000E2659" w:rsidRDefault="00000000">
            <w:pPr>
              <w:widowControl w:val="0"/>
              <w:spacing w:line="360" w:lineRule="auto"/>
              <w:rPr>
                <w:color w:val="000000"/>
              </w:rPr>
            </w:pPr>
            <w:r w:rsidRPr="000E2659">
              <w:rPr>
                <w:color w:val="000000"/>
              </w:rPr>
              <w:t>GU1</w:t>
            </w:r>
          </w:p>
        </w:tc>
        <w:tc>
          <w:tcPr>
            <w:tcW w:w="1486" w:type="dxa"/>
            <w:shd w:val="clear" w:color="auto" w:fill="auto"/>
          </w:tcPr>
          <w:p w14:paraId="4BA64248" w14:textId="77777777" w:rsidR="0072097E" w:rsidRPr="000E2659" w:rsidRDefault="00000000">
            <w:pPr>
              <w:widowControl w:val="0"/>
              <w:spacing w:line="360" w:lineRule="auto"/>
              <w:jc w:val="right"/>
              <w:rPr>
                <w:color w:val="000000"/>
              </w:rPr>
            </w:pPr>
            <w:r w:rsidRPr="000E2659">
              <w:rPr>
                <w:color w:val="000000"/>
              </w:rPr>
              <w:t>39,926,943</w:t>
            </w:r>
          </w:p>
        </w:tc>
        <w:tc>
          <w:tcPr>
            <w:tcW w:w="904" w:type="dxa"/>
            <w:shd w:val="clear" w:color="auto" w:fill="auto"/>
          </w:tcPr>
          <w:p w14:paraId="444992C2" w14:textId="77777777" w:rsidR="0072097E" w:rsidRPr="000E2659" w:rsidRDefault="00000000">
            <w:pPr>
              <w:widowControl w:val="0"/>
              <w:spacing w:line="360" w:lineRule="auto"/>
              <w:jc w:val="right"/>
              <w:rPr>
                <w:color w:val="000000"/>
              </w:rPr>
            </w:pPr>
            <w:r w:rsidRPr="000E2659">
              <w:rPr>
                <w:color w:val="000000"/>
              </w:rPr>
              <w:t>10,000</w:t>
            </w:r>
          </w:p>
        </w:tc>
        <w:tc>
          <w:tcPr>
            <w:tcW w:w="1749" w:type="dxa"/>
            <w:shd w:val="clear" w:color="auto" w:fill="auto"/>
          </w:tcPr>
          <w:p w14:paraId="558FE4B5" w14:textId="77777777" w:rsidR="0072097E" w:rsidRPr="000E2659" w:rsidRDefault="00000000">
            <w:pPr>
              <w:widowControl w:val="0"/>
              <w:spacing w:line="360" w:lineRule="auto"/>
              <w:jc w:val="right"/>
              <w:rPr>
                <w:color w:val="000000"/>
              </w:rPr>
            </w:pPr>
            <w:r w:rsidRPr="000E2659">
              <w:rPr>
                <w:color w:val="000000"/>
              </w:rPr>
              <w:t>0.7029</w:t>
            </w:r>
          </w:p>
        </w:tc>
        <w:tc>
          <w:tcPr>
            <w:tcW w:w="897" w:type="dxa"/>
            <w:shd w:val="clear" w:color="auto" w:fill="auto"/>
          </w:tcPr>
          <w:p w14:paraId="0C45D17E" w14:textId="77777777" w:rsidR="0072097E" w:rsidRPr="000E2659" w:rsidRDefault="0072097E">
            <w:pPr>
              <w:widowControl w:val="0"/>
              <w:spacing w:line="360" w:lineRule="auto"/>
              <w:jc w:val="right"/>
              <w:rPr>
                <w:color w:val="000000"/>
              </w:rPr>
            </w:pPr>
          </w:p>
        </w:tc>
        <w:tc>
          <w:tcPr>
            <w:tcW w:w="785" w:type="dxa"/>
          </w:tcPr>
          <w:p w14:paraId="6D828B2A" w14:textId="77777777" w:rsidR="0072097E" w:rsidRPr="000E2659" w:rsidRDefault="0072097E">
            <w:pPr>
              <w:widowControl w:val="0"/>
              <w:spacing w:line="360" w:lineRule="auto"/>
              <w:jc w:val="right"/>
              <w:rPr>
                <w:color w:val="000000"/>
              </w:rPr>
            </w:pPr>
          </w:p>
        </w:tc>
      </w:tr>
      <w:tr w:rsidR="0072097E" w:rsidRPr="000E2659" w14:paraId="1E15148E" w14:textId="77777777" w:rsidTr="000E2659">
        <w:trPr>
          <w:trHeight w:val="320"/>
        </w:trPr>
        <w:tc>
          <w:tcPr>
            <w:tcW w:w="3016" w:type="dxa"/>
            <w:shd w:val="clear" w:color="auto" w:fill="auto"/>
          </w:tcPr>
          <w:p w14:paraId="5BF14A30" w14:textId="77777777" w:rsidR="0072097E" w:rsidRPr="000E2659" w:rsidRDefault="0072097E">
            <w:pPr>
              <w:widowControl w:val="0"/>
              <w:spacing w:line="360" w:lineRule="auto"/>
              <w:rPr>
                <w:color w:val="000000"/>
              </w:rPr>
            </w:pPr>
          </w:p>
        </w:tc>
        <w:tc>
          <w:tcPr>
            <w:tcW w:w="1486" w:type="dxa"/>
            <w:shd w:val="clear" w:color="auto" w:fill="auto"/>
          </w:tcPr>
          <w:p w14:paraId="52B7EED9" w14:textId="77777777" w:rsidR="0072097E" w:rsidRPr="000E2659" w:rsidRDefault="00000000">
            <w:pPr>
              <w:widowControl w:val="0"/>
              <w:spacing w:line="360" w:lineRule="auto"/>
              <w:jc w:val="right"/>
              <w:rPr>
                <w:color w:val="000000"/>
              </w:rPr>
            </w:pPr>
            <w:r w:rsidRPr="000E2659">
              <w:rPr>
                <w:color w:val="000000"/>
              </w:rPr>
              <w:t>6,285,946,421</w:t>
            </w:r>
          </w:p>
        </w:tc>
        <w:tc>
          <w:tcPr>
            <w:tcW w:w="904" w:type="dxa"/>
            <w:shd w:val="clear" w:color="auto" w:fill="auto"/>
          </w:tcPr>
          <w:p w14:paraId="7552EBBF" w14:textId="77777777" w:rsidR="0072097E" w:rsidRPr="000E2659" w:rsidRDefault="0072097E">
            <w:pPr>
              <w:widowControl w:val="0"/>
              <w:spacing w:line="360" w:lineRule="auto"/>
              <w:jc w:val="right"/>
              <w:rPr>
                <w:color w:val="000000"/>
              </w:rPr>
            </w:pPr>
          </w:p>
        </w:tc>
        <w:tc>
          <w:tcPr>
            <w:tcW w:w="1749" w:type="dxa"/>
            <w:shd w:val="clear" w:color="auto" w:fill="auto"/>
          </w:tcPr>
          <w:p w14:paraId="092AF454" w14:textId="77777777" w:rsidR="0072097E" w:rsidRPr="000E2659" w:rsidRDefault="0072097E">
            <w:pPr>
              <w:widowControl w:val="0"/>
              <w:spacing w:line="360" w:lineRule="auto"/>
              <w:jc w:val="right"/>
              <w:rPr>
                <w:color w:val="000000"/>
              </w:rPr>
            </w:pPr>
          </w:p>
        </w:tc>
        <w:tc>
          <w:tcPr>
            <w:tcW w:w="897" w:type="dxa"/>
            <w:shd w:val="clear" w:color="auto" w:fill="auto"/>
          </w:tcPr>
          <w:p w14:paraId="4FEBEA65" w14:textId="77777777" w:rsidR="0072097E" w:rsidRPr="000E2659" w:rsidRDefault="00000000">
            <w:pPr>
              <w:widowControl w:val="0"/>
              <w:spacing w:line="360" w:lineRule="auto"/>
              <w:jc w:val="right"/>
              <w:rPr>
                <w:color w:val="000000"/>
              </w:rPr>
            </w:pPr>
            <w:r w:rsidRPr="000E2659">
              <w:rPr>
                <w:color w:val="000000"/>
              </w:rPr>
              <w:t>100%</w:t>
            </w:r>
          </w:p>
        </w:tc>
        <w:tc>
          <w:tcPr>
            <w:tcW w:w="785" w:type="dxa"/>
          </w:tcPr>
          <w:p w14:paraId="288C0128" w14:textId="77777777" w:rsidR="0072097E" w:rsidRPr="000E2659" w:rsidRDefault="00000000">
            <w:pPr>
              <w:widowControl w:val="0"/>
              <w:spacing w:line="360" w:lineRule="auto"/>
              <w:jc w:val="right"/>
              <w:rPr>
                <w:color w:val="000000"/>
              </w:rPr>
            </w:pPr>
            <w:r w:rsidRPr="000E2659">
              <w:rPr>
                <w:color w:val="000000"/>
              </w:rPr>
              <w:t>100%</w:t>
            </w:r>
          </w:p>
        </w:tc>
      </w:tr>
    </w:tbl>
    <w:p w14:paraId="29C247D4" w14:textId="77777777" w:rsidR="0072097E" w:rsidRPr="000E2659" w:rsidRDefault="00000000" w:rsidP="000E2659">
      <w:pPr>
        <w:spacing w:line="360" w:lineRule="auto"/>
        <w:jc w:val="center"/>
      </w:pPr>
      <w:r w:rsidRPr="000E2659">
        <w:t>Fuente: Elaboración propia con base en: (1) CRE (2015), (2) y (3) CRE (2016); (4) y (5) cálculos propios con base en proyecciones brindadas por la empresa dentro de su plan de negocios (CRE, 2015).</w:t>
      </w:r>
    </w:p>
    <w:p w14:paraId="1D4A6B5B" w14:textId="45C98C10" w:rsidR="0072097E" w:rsidRPr="000E2659" w:rsidRDefault="00000000" w:rsidP="000E2659">
      <w:pPr>
        <w:spacing w:line="360" w:lineRule="auto"/>
        <w:jc w:val="center"/>
      </w:pPr>
      <w:r w:rsidRPr="000E2659">
        <w:t xml:space="preserve">Nota: </w:t>
      </w:r>
      <w:r w:rsidRPr="000E2659">
        <w:rPr>
          <w:color w:val="000000"/>
          <w:vertAlign w:val="superscript"/>
        </w:rPr>
        <w:t>1</w:t>
      </w:r>
      <w:r w:rsidRPr="000E2659">
        <w:t>Las tarifas se presentan en cinco bloques de consumo y no están disponibles las variables para realizar la reconstrucción a ese detalle.</w:t>
      </w:r>
    </w:p>
    <w:p w14:paraId="244D9EA3" w14:textId="77777777" w:rsidR="0072097E" w:rsidRDefault="00000000">
      <w:pPr>
        <w:spacing w:line="360" w:lineRule="auto"/>
        <w:jc w:val="both"/>
      </w:pPr>
      <w:r>
        <w:tab/>
        <w:t>Como se advierte de la Tabla 3, la información pública disponible sólo aporta el dato del RI por cada grupo tarifario y los dos cargos correspondientes que componen la tarifa, pero no es posible conocer cómo está compuesto cada requerimiento del grupo tarifario en su estructura (base de activos y costos OMAV). Con ello se contraviene el principio de transparencia e imposibilita saber si existen o no subsidios cruzados.</w:t>
      </w:r>
    </w:p>
    <w:p w14:paraId="50CBA8EF" w14:textId="77777777" w:rsidR="0072097E" w:rsidRDefault="0072097E">
      <w:pPr>
        <w:spacing w:line="360" w:lineRule="auto"/>
        <w:jc w:val="both"/>
      </w:pPr>
    </w:p>
    <w:p w14:paraId="301CAADF" w14:textId="687FBE8D" w:rsidR="0072097E" w:rsidRPr="000E2659" w:rsidRDefault="00000000" w:rsidP="000E2659">
      <w:pPr>
        <w:spacing w:line="360" w:lineRule="auto"/>
        <w:jc w:val="center"/>
        <w:rPr>
          <w:b/>
          <w:bCs/>
          <w:sz w:val="32"/>
          <w:szCs w:val="32"/>
        </w:rPr>
      </w:pPr>
      <w:r w:rsidRPr="000E2659">
        <w:rPr>
          <w:b/>
          <w:bCs/>
          <w:sz w:val="32"/>
          <w:szCs w:val="32"/>
        </w:rPr>
        <w:t>Metodología</w:t>
      </w:r>
    </w:p>
    <w:p w14:paraId="56D402E1" w14:textId="77777777" w:rsidR="0072097E" w:rsidRDefault="00000000">
      <w:pPr>
        <w:spacing w:line="360" w:lineRule="auto"/>
        <w:jc w:val="both"/>
      </w:pPr>
      <w:r>
        <w:t xml:space="preserve">La Tabla 4 siguiente muestra la secuencia, en sentido vertical, de los cálculos básicos que deben seguirse para llegar a determinar los cargos de la tarifa a los distintos usuarios, a partir de la información inicial del RI total y su estructura de costos. En la Tabla 4 se indica cuál </w:t>
      </w:r>
      <w:r>
        <w:lastRenderedPageBreak/>
        <w:t>es la información pública y cuál es la que no se ha hecho pública. Por tanto, los cálculos que se elaboran son una reconstrucción en sentido de abajo-arriba, con el fin de estimar la información no pública.</w:t>
      </w:r>
    </w:p>
    <w:p w14:paraId="1E7F51B9" w14:textId="77777777" w:rsidR="0072097E" w:rsidRDefault="0072097E">
      <w:pPr>
        <w:spacing w:line="360" w:lineRule="auto"/>
        <w:jc w:val="both"/>
      </w:pPr>
    </w:p>
    <w:p w14:paraId="156EF3D6" w14:textId="77777777" w:rsidR="0072097E" w:rsidRDefault="00000000" w:rsidP="000E2659">
      <w:pPr>
        <w:spacing w:line="360" w:lineRule="auto"/>
        <w:jc w:val="center"/>
        <w:rPr>
          <w:b/>
          <w:bCs/>
        </w:rPr>
      </w:pPr>
      <w:r>
        <w:rPr>
          <w:b/>
          <w:bCs/>
        </w:rPr>
        <w:t xml:space="preserve">Tabla 4. </w:t>
      </w:r>
      <w:r>
        <w:t>Secuencia general del cálculo de tarifas según la Directiva de Tarifas, vacíos de información pública y etapas de reconstrucción</w:t>
      </w:r>
    </w:p>
    <w:tbl>
      <w:tblPr>
        <w:tblStyle w:val="Tablaconcuadrcula"/>
        <w:tblW w:w="8828" w:type="dxa"/>
        <w:tblLayout w:type="fixed"/>
        <w:tblLook w:val="04A0" w:firstRow="1" w:lastRow="0" w:firstColumn="1" w:lastColumn="0" w:noHBand="0" w:noVBand="1"/>
      </w:tblPr>
      <w:tblGrid>
        <w:gridCol w:w="2155"/>
        <w:gridCol w:w="2660"/>
        <w:gridCol w:w="2268"/>
        <w:gridCol w:w="1745"/>
      </w:tblGrid>
      <w:tr w:rsidR="0072097E" w:rsidRPr="000E2659" w14:paraId="3433365D" w14:textId="77777777" w:rsidTr="000E2659">
        <w:tc>
          <w:tcPr>
            <w:tcW w:w="2154" w:type="dxa"/>
            <w:vAlign w:val="center"/>
          </w:tcPr>
          <w:p w14:paraId="5C8D131C" w14:textId="77777777" w:rsidR="0072097E" w:rsidRPr="000E2659" w:rsidRDefault="00000000">
            <w:pPr>
              <w:jc w:val="center"/>
            </w:pPr>
            <w:r w:rsidRPr="000E2659">
              <w:t>Secuencia según la Directiva de Tarifas</w:t>
            </w:r>
          </w:p>
        </w:tc>
        <w:tc>
          <w:tcPr>
            <w:tcW w:w="2660" w:type="dxa"/>
            <w:vAlign w:val="center"/>
          </w:tcPr>
          <w:p w14:paraId="2B23061F" w14:textId="77777777" w:rsidR="0072097E" w:rsidRPr="000E2659" w:rsidRDefault="00000000">
            <w:pPr>
              <w:jc w:val="center"/>
            </w:pPr>
            <w:r w:rsidRPr="000E2659">
              <w:t>Variables</w:t>
            </w:r>
          </w:p>
        </w:tc>
        <w:tc>
          <w:tcPr>
            <w:tcW w:w="2268" w:type="dxa"/>
            <w:vAlign w:val="center"/>
          </w:tcPr>
          <w:p w14:paraId="79AE8AC8" w14:textId="77777777" w:rsidR="0072097E" w:rsidRPr="000E2659" w:rsidRDefault="00000000">
            <w:pPr>
              <w:jc w:val="center"/>
            </w:pPr>
            <w:r w:rsidRPr="000E2659">
              <w:t>Carácter de la información</w:t>
            </w:r>
          </w:p>
        </w:tc>
        <w:tc>
          <w:tcPr>
            <w:tcW w:w="1745" w:type="dxa"/>
            <w:vAlign w:val="center"/>
          </w:tcPr>
          <w:p w14:paraId="380F0B59" w14:textId="77777777" w:rsidR="0072097E" w:rsidRPr="000E2659" w:rsidRDefault="00000000">
            <w:pPr>
              <w:jc w:val="center"/>
            </w:pPr>
            <w:r w:rsidRPr="000E2659">
              <w:t>Secuencia de reconstrucción</w:t>
            </w:r>
          </w:p>
        </w:tc>
      </w:tr>
      <w:tr w:rsidR="0072097E" w:rsidRPr="000E2659" w14:paraId="29A407C2" w14:textId="77777777" w:rsidTr="000E2659">
        <w:tc>
          <w:tcPr>
            <w:tcW w:w="2154" w:type="dxa"/>
            <w:vMerge w:val="restart"/>
          </w:tcPr>
          <w:p w14:paraId="2BB9703E" w14:textId="77777777" w:rsidR="0072097E" w:rsidRPr="000E2659" w:rsidRDefault="00000000">
            <w:r w:rsidRPr="000E2659">
              <w:t>1. Regulador recibe esta información inicial</w:t>
            </w:r>
          </w:p>
        </w:tc>
        <w:tc>
          <w:tcPr>
            <w:tcW w:w="2660" w:type="dxa"/>
          </w:tcPr>
          <w:p w14:paraId="0413C7EE" w14:textId="77777777" w:rsidR="0072097E" w:rsidRPr="000E2659" w:rsidRDefault="00000000">
            <w:pPr>
              <w:jc w:val="center"/>
            </w:pPr>
            <w:r w:rsidRPr="000E2659">
              <w:t>RI Total</w:t>
            </w:r>
          </w:p>
        </w:tc>
        <w:tc>
          <w:tcPr>
            <w:tcW w:w="2268" w:type="dxa"/>
          </w:tcPr>
          <w:p w14:paraId="05E99AEE" w14:textId="77777777" w:rsidR="0072097E" w:rsidRPr="000E2659" w:rsidRDefault="00000000">
            <w:pPr>
              <w:jc w:val="center"/>
            </w:pPr>
            <w:r w:rsidRPr="000E2659">
              <w:t>Pública</w:t>
            </w:r>
          </w:p>
        </w:tc>
        <w:tc>
          <w:tcPr>
            <w:tcW w:w="1745" w:type="dxa"/>
          </w:tcPr>
          <w:p w14:paraId="6DE9490A" w14:textId="77777777" w:rsidR="0072097E" w:rsidRPr="000E2659" w:rsidRDefault="0072097E">
            <w:pPr>
              <w:jc w:val="center"/>
            </w:pPr>
          </w:p>
        </w:tc>
      </w:tr>
      <w:tr w:rsidR="0072097E" w:rsidRPr="000E2659" w14:paraId="120B7737" w14:textId="77777777" w:rsidTr="000E2659">
        <w:tc>
          <w:tcPr>
            <w:tcW w:w="2154" w:type="dxa"/>
            <w:vMerge/>
          </w:tcPr>
          <w:p w14:paraId="14CA7286" w14:textId="77777777" w:rsidR="0072097E" w:rsidRPr="000E2659" w:rsidRDefault="0072097E"/>
        </w:tc>
        <w:tc>
          <w:tcPr>
            <w:tcW w:w="2660" w:type="dxa"/>
          </w:tcPr>
          <w:p w14:paraId="35983860" w14:textId="77777777" w:rsidR="0072097E" w:rsidRPr="000E2659" w:rsidRDefault="00000000">
            <w:pPr>
              <w:jc w:val="center"/>
            </w:pPr>
            <w:r w:rsidRPr="000E2659">
              <w:t>(base de activos + costos OMAV) Total</w:t>
            </w:r>
          </w:p>
        </w:tc>
        <w:tc>
          <w:tcPr>
            <w:tcW w:w="2268" w:type="dxa"/>
          </w:tcPr>
          <w:p w14:paraId="2BB78F78" w14:textId="77777777" w:rsidR="0072097E" w:rsidRPr="000E2659" w:rsidRDefault="00000000">
            <w:pPr>
              <w:jc w:val="center"/>
            </w:pPr>
            <w:r w:rsidRPr="000E2659">
              <w:t>Pública</w:t>
            </w:r>
          </w:p>
        </w:tc>
        <w:tc>
          <w:tcPr>
            <w:tcW w:w="1745" w:type="dxa"/>
          </w:tcPr>
          <w:p w14:paraId="3C07CB35" w14:textId="77777777" w:rsidR="0072097E" w:rsidRPr="000E2659" w:rsidRDefault="0072097E">
            <w:pPr>
              <w:jc w:val="center"/>
            </w:pPr>
          </w:p>
        </w:tc>
      </w:tr>
      <w:tr w:rsidR="0072097E" w:rsidRPr="000E2659" w14:paraId="3B1A90CD" w14:textId="77777777" w:rsidTr="000E2659">
        <w:tc>
          <w:tcPr>
            <w:tcW w:w="2154" w:type="dxa"/>
          </w:tcPr>
          <w:p w14:paraId="5CE92CFB" w14:textId="77777777" w:rsidR="0072097E" w:rsidRPr="000E2659" w:rsidRDefault="00000000">
            <w:r w:rsidRPr="000E2659">
              <w:t xml:space="preserve">2. Asigna componentes del RI Total a cada RI </w:t>
            </w:r>
            <w:proofErr w:type="gramStart"/>
            <w:r w:rsidRPr="000E2659">
              <w:t>1..</w:t>
            </w:r>
            <w:proofErr w:type="gramEnd"/>
            <w:r w:rsidRPr="000E2659">
              <w:t>n</w:t>
            </w:r>
          </w:p>
        </w:tc>
        <w:tc>
          <w:tcPr>
            <w:tcW w:w="2660" w:type="dxa"/>
          </w:tcPr>
          <w:p w14:paraId="786F7544" w14:textId="77777777" w:rsidR="0072097E" w:rsidRPr="000E2659" w:rsidRDefault="00000000">
            <w:pPr>
              <w:jc w:val="center"/>
            </w:pPr>
            <w:r w:rsidRPr="000E2659">
              <w:t>Proceso en que debe contabilizarse bajo principios de funcionalización y clasificación de costos, a fin de realizar una asignación eficiente de costos a cada tipo de usuarios de la empresa</w:t>
            </w:r>
          </w:p>
        </w:tc>
        <w:tc>
          <w:tcPr>
            <w:tcW w:w="2268" w:type="dxa"/>
          </w:tcPr>
          <w:p w14:paraId="66F2BAF8" w14:textId="77777777" w:rsidR="0072097E" w:rsidRPr="000E2659" w:rsidRDefault="00000000">
            <w:pPr>
              <w:jc w:val="center"/>
            </w:pPr>
            <w:r w:rsidRPr="000E2659">
              <w:t>No Pública</w:t>
            </w:r>
          </w:p>
        </w:tc>
        <w:tc>
          <w:tcPr>
            <w:tcW w:w="1745" w:type="dxa"/>
          </w:tcPr>
          <w:p w14:paraId="08FBB34F" w14:textId="77777777" w:rsidR="0072097E" w:rsidRPr="000E2659" w:rsidRDefault="00000000">
            <w:pPr>
              <w:jc w:val="center"/>
            </w:pPr>
            <w:r w:rsidRPr="000E2659">
              <w:t xml:space="preserve">2ª Etapa </w:t>
            </w:r>
          </w:p>
        </w:tc>
      </w:tr>
      <w:tr w:rsidR="0072097E" w:rsidRPr="000E2659" w14:paraId="47281948" w14:textId="77777777" w:rsidTr="000E2659">
        <w:tc>
          <w:tcPr>
            <w:tcW w:w="2154" w:type="dxa"/>
          </w:tcPr>
          <w:p w14:paraId="0531DDAC" w14:textId="77777777" w:rsidR="0072097E" w:rsidRPr="000E2659" w:rsidRDefault="00000000">
            <w:r w:rsidRPr="000E2659">
              <w:t>3.</w:t>
            </w:r>
            <w:r w:rsidRPr="000E2659">
              <w:rPr>
                <w:b/>
                <w:bCs/>
              </w:rPr>
              <w:t xml:space="preserve"> </w:t>
            </w:r>
            <w:r w:rsidRPr="000E2659">
              <w:t xml:space="preserve">Se obtiene un RI </w:t>
            </w:r>
            <w:proofErr w:type="gramStart"/>
            <w:r w:rsidRPr="000E2659">
              <w:t>1..</w:t>
            </w:r>
            <w:proofErr w:type="gramEnd"/>
            <w:r w:rsidRPr="000E2659">
              <w:t>n</w:t>
            </w:r>
          </w:p>
        </w:tc>
        <w:tc>
          <w:tcPr>
            <w:tcW w:w="2660" w:type="dxa"/>
          </w:tcPr>
          <w:p w14:paraId="6511B0C0" w14:textId="77777777" w:rsidR="0072097E" w:rsidRPr="000E2659" w:rsidRDefault="00000000">
            <w:pPr>
              <w:jc w:val="center"/>
            </w:pPr>
            <w:r w:rsidRPr="000E2659">
              <w:t>(base de activos + costos OMAV) 1…n = RI 1…n</w:t>
            </w:r>
          </w:p>
        </w:tc>
        <w:tc>
          <w:tcPr>
            <w:tcW w:w="2268" w:type="dxa"/>
          </w:tcPr>
          <w:p w14:paraId="72B6A876" w14:textId="77777777" w:rsidR="0072097E" w:rsidRPr="000E2659" w:rsidRDefault="00000000">
            <w:pPr>
              <w:jc w:val="center"/>
            </w:pPr>
            <w:r w:rsidRPr="000E2659">
              <w:t>Pública</w:t>
            </w:r>
          </w:p>
        </w:tc>
        <w:tc>
          <w:tcPr>
            <w:tcW w:w="1745" w:type="dxa"/>
          </w:tcPr>
          <w:p w14:paraId="6469BA97" w14:textId="77777777" w:rsidR="0072097E" w:rsidRPr="000E2659" w:rsidRDefault="0072097E">
            <w:pPr>
              <w:jc w:val="center"/>
            </w:pPr>
          </w:p>
        </w:tc>
      </w:tr>
      <w:tr w:rsidR="0072097E" w:rsidRPr="000E2659" w14:paraId="7CDA5626" w14:textId="77777777" w:rsidTr="000E2659">
        <w:tc>
          <w:tcPr>
            <w:tcW w:w="2154" w:type="dxa"/>
            <w:vMerge w:val="restart"/>
          </w:tcPr>
          <w:p w14:paraId="685EC49B" w14:textId="77777777" w:rsidR="0072097E" w:rsidRPr="000E2659" w:rsidRDefault="00000000">
            <w:r w:rsidRPr="000E2659">
              <w:t>4.</w:t>
            </w:r>
            <w:r w:rsidRPr="000E2659">
              <w:rPr>
                <w:b/>
                <w:bCs/>
              </w:rPr>
              <w:t xml:space="preserve"> </w:t>
            </w:r>
            <w:r w:rsidRPr="000E2659">
              <w:t xml:space="preserve">Se asigna energía y usuarios a cada grupo de usuarios. </w:t>
            </w:r>
          </w:p>
        </w:tc>
        <w:tc>
          <w:tcPr>
            <w:tcW w:w="2660" w:type="dxa"/>
          </w:tcPr>
          <w:p w14:paraId="16A96C44" w14:textId="77777777" w:rsidR="0072097E" w:rsidRPr="000E2659" w:rsidRDefault="00000000">
            <w:pPr>
              <w:jc w:val="center"/>
            </w:pPr>
            <w:r w:rsidRPr="000E2659">
              <w:t>Energía y usuarios Total</w:t>
            </w:r>
          </w:p>
        </w:tc>
        <w:tc>
          <w:tcPr>
            <w:tcW w:w="2268" w:type="dxa"/>
            <w:vMerge w:val="restart"/>
          </w:tcPr>
          <w:p w14:paraId="7CAB2D23" w14:textId="77777777" w:rsidR="0072097E" w:rsidRPr="000E2659" w:rsidRDefault="00000000">
            <w:pPr>
              <w:jc w:val="center"/>
            </w:pPr>
            <w:r w:rsidRPr="000E2659">
              <w:t>No pública</w:t>
            </w:r>
          </w:p>
        </w:tc>
        <w:tc>
          <w:tcPr>
            <w:tcW w:w="1745" w:type="dxa"/>
            <w:vMerge w:val="restart"/>
          </w:tcPr>
          <w:p w14:paraId="4DEFA002" w14:textId="77777777" w:rsidR="0072097E" w:rsidRPr="000E2659" w:rsidRDefault="00000000">
            <w:pPr>
              <w:jc w:val="center"/>
            </w:pPr>
            <w:r w:rsidRPr="000E2659">
              <w:t>1ª Etapa</w:t>
            </w:r>
          </w:p>
        </w:tc>
      </w:tr>
      <w:tr w:rsidR="0072097E" w:rsidRPr="000E2659" w14:paraId="607EC243" w14:textId="77777777" w:rsidTr="000E2659">
        <w:tc>
          <w:tcPr>
            <w:tcW w:w="2154" w:type="dxa"/>
            <w:vMerge/>
          </w:tcPr>
          <w:p w14:paraId="5F27DF72" w14:textId="77777777" w:rsidR="0072097E" w:rsidRPr="000E2659" w:rsidRDefault="0072097E"/>
        </w:tc>
        <w:tc>
          <w:tcPr>
            <w:tcW w:w="2660" w:type="dxa"/>
          </w:tcPr>
          <w:p w14:paraId="17B40B22" w14:textId="77777777" w:rsidR="0072097E" w:rsidRPr="000E2659" w:rsidRDefault="00000000">
            <w:pPr>
              <w:jc w:val="center"/>
            </w:pPr>
            <w:r w:rsidRPr="000E2659">
              <w:t>Energía y usuarios 1…n</w:t>
            </w:r>
          </w:p>
        </w:tc>
        <w:tc>
          <w:tcPr>
            <w:tcW w:w="2268" w:type="dxa"/>
            <w:vMerge/>
          </w:tcPr>
          <w:p w14:paraId="711BCE59" w14:textId="77777777" w:rsidR="0072097E" w:rsidRPr="000E2659" w:rsidRDefault="0072097E">
            <w:pPr>
              <w:jc w:val="center"/>
            </w:pPr>
          </w:p>
        </w:tc>
        <w:tc>
          <w:tcPr>
            <w:tcW w:w="1745" w:type="dxa"/>
            <w:vMerge/>
          </w:tcPr>
          <w:p w14:paraId="52C8129C" w14:textId="77777777" w:rsidR="0072097E" w:rsidRPr="000E2659" w:rsidRDefault="0072097E">
            <w:pPr>
              <w:jc w:val="center"/>
            </w:pPr>
          </w:p>
        </w:tc>
      </w:tr>
      <w:tr w:rsidR="0072097E" w:rsidRPr="000E2659" w14:paraId="1914BE5F" w14:textId="77777777" w:rsidTr="000E2659">
        <w:tc>
          <w:tcPr>
            <w:tcW w:w="2154" w:type="dxa"/>
          </w:tcPr>
          <w:p w14:paraId="79EF6B23" w14:textId="77777777" w:rsidR="0072097E" w:rsidRPr="000E2659" w:rsidRDefault="00000000">
            <w:r w:rsidRPr="000E2659">
              <w:t>5. Se obtiene un RI asignado a energía y otro asignado a usuarios.</w:t>
            </w:r>
          </w:p>
        </w:tc>
        <w:tc>
          <w:tcPr>
            <w:tcW w:w="2660" w:type="dxa"/>
          </w:tcPr>
          <w:p w14:paraId="70EE2602" w14:textId="77777777" w:rsidR="0072097E" w:rsidRPr="000E2659" w:rsidRDefault="00000000">
            <w:pPr>
              <w:jc w:val="center"/>
              <w:rPr>
                <w:rFonts w:eastAsia="Calibri"/>
                <w:lang w:eastAsia="en-US"/>
              </w:rPr>
            </w:pPr>
            <w:r w:rsidRPr="000E2659">
              <w:rPr>
                <w:rFonts w:eastAsiaTheme="minorHAnsi"/>
                <w:lang w:eastAsia="en-US"/>
              </w:rPr>
              <w:t>RI por energía1…n</w:t>
            </w:r>
          </w:p>
          <w:p w14:paraId="7B350426" w14:textId="77777777" w:rsidR="0072097E" w:rsidRPr="000E2659" w:rsidRDefault="00000000">
            <w:pPr>
              <w:jc w:val="center"/>
            </w:pPr>
            <w:r w:rsidRPr="000E2659">
              <w:rPr>
                <w:rFonts w:eastAsiaTheme="minorHAnsi"/>
                <w:lang w:eastAsia="en-US"/>
              </w:rPr>
              <w:t>RI por usuarios 1…n</w:t>
            </w:r>
          </w:p>
        </w:tc>
        <w:tc>
          <w:tcPr>
            <w:tcW w:w="2268" w:type="dxa"/>
          </w:tcPr>
          <w:p w14:paraId="3BED1586" w14:textId="77777777" w:rsidR="0072097E" w:rsidRPr="000E2659" w:rsidRDefault="00000000">
            <w:pPr>
              <w:jc w:val="center"/>
            </w:pPr>
            <w:r w:rsidRPr="000E2659">
              <w:t>No pública</w:t>
            </w:r>
          </w:p>
        </w:tc>
        <w:tc>
          <w:tcPr>
            <w:tcW w:w="1745" w:type="dxa"/>
            <w:vMerge/>
          </w:tcPr>
          <w:p w14:paraId="115F88EE" w14:textId="77777777" w:rsidR="0072097E" w:rsidRPr="000E2659" w:rsidRDefault="0072097E">
            <w:pPr>
              <w:jc w:val="center"/>
            </w:pPr>
          </w:p>
        </w:tc>
      </w:tr>
      <w:tr w:rsidR="0072097E" w:rsidRPr="000E2659" w14:paraId="062D8D16" w14:textId="77777777" w:rsidTr="000E2659">
        <w:tc>
          <w:tcPr>
            <w:tcW w:w="2154" w:type="dxa"/>
          </w:tcPr>
          <w:p w14:paraId="4BD806EC" w14:textId="77777777" w:rsidR="0072097E" w:rsidRPr="000E2659" w:rsidRDefault="00000000">
            <w:r w:rsidRPr="000E2659">
              <w:t>6. Los cargos al usuario garantizan el ingreso de la empresa por cada concepto.</w:t>
            </w:r>
          </w:p>
        </w:tc>
        <w:tc>
          <w:tcPr>
            <w:tcW w:w="2660" w:type="dxa"/>
          </w:tcPr>
          <w:p w14:paraId="398E5F5B" w14:textId="77777777" w:rsidR="0072097E" w:rsidRPr="000E2659" w:rsidRDefault="00000000">
            <w:pPr>
              <w:jc w:val="center"/>
            </w:pPr>
            <w:r w:rsidRPr="000E2659">
              <w:t>Cargo por energía 1…n</w:t>
            </w:r>
          </w:p>
          <w:p w14:paraId="25ECF4CF" w14:textId="77777777" w:rsidR="0072097E" w:rsidRPr="000E2659" w:rsidRDefault="00000000">
            <w:pPr>
              <w:jc w:val="center"/>
            </w:pPr>
            <w:r w:rsidRPr="000E2659">
              <w:t xml:space="preserve">Cargo por usuario 1…n </w:t>
            </w:r>
          </w:p>
        </w:tc>
        <w:tc>
          <w:tcPr>
            <w:tcW w:w="2268" w:type="dxa"/>
          </w:tcPr>
          <w:p w14:paraId="0E787F5F" w14:textId="77777777" w:rsidR="0072097E" w:rsidRPr="000E2659" w:rsidRDefault="00000000">
            <w:pPr>
              <w:jc w:val="center"/>
            </w:pPr>
            <w:r w:rsidRPr="000E2659">
              <w:t>Pública</w:t>
            </w:r>
          </w:p>
        </w:tc>
        <w:tc>
          <w:tcPr>
            <w:tcW w:w="1745" w:type="dxa"/>
          </w:tcPr>
          <w:p w14:paraId="3FBB0EA4" w14:textId="77777777" w:rsidR="0072097E" w:rsidRPr="000E2659" w:rsidRDefault="0072097E">
            <w:pPr>
              <w:jc w:val="center"/>
            </w:pPr>
          </w:p>
        </w:tc>
      </w:tr>
    </w:tbl>
    <w:p w14:paraId="7EE716C7" w14:textId="73BEB16E" w:rsidR="0072097E" w:rsidRDefault="00000000" w:rsidP="000E2659">
      <w:pPr>
        <w:spacing w:line="360" w:lineRule="auto"/>
        <w:jc w:val="center"/>
      </w:pPr>
      <w:r w:rsidRPr="000E2659">
        <w:t>Fuente: Elaboración propia</w:t>
      </w:r>
    </w:p>
    <w:p w14:paraId="0261CEDA" w14:textId="77777777" w:rsidR="0072097E" w:rsidRDefault="00000000">
      <w:pPr>
        <w:spacing w:line="360" w:lineRule="auto"/>
        <w:jc w:val="both"/>
      </w:pPr>
      <w:r>
        <w:tab/>
        <w:t xml:space="preserve">En la metodología de reconstrucción, los cálculos a realizar en sentido de abajo hacia arriba se llevan a cabo en dos etapas. En la primera se calcula el valor de las variables indicadas en los pasos 4 y 5. En la segunda etapa se calcula el valor del paso indicado como 2. </w:t>
      </w:r>
    </w:p>
    <w:p w14:paraId="7D492CBA" w14:textId="77777777" w:rsidR="0072097E" w:rsidRDefault="00000000">
      <w:pPr>
        <w:spacing w:line="360" w:lineRule="auto"/>
        <w:jc w:val="both"/>
        <w:rPr>
          <w:lang w:val="es-ES"/>
        </w:rPr>
      </w:pPr>
      <w:r>
        <w:rPr>
          <w:b/>
          <w:bCs/>
          <w:i/>
          <w:iCs/>
        </w:rPr>
        <w:tab/>
        <w:t xml:space="preserve">Primera Etapa: </w:t>
      </w:r>
      <w:r>
        <w:t>consiste en calcular: i) el valor del RI</w:t>
      </w:r>
      <w:r>
        <w:rPr>
          <w:lang w:val="es-ES"/>
        </w:rPr>
        <w:t xml:space="preserve"> asociado al cargo por servicio (RI por servicio), </w:t>
      </w:r>
      <w:proofErr w:type="spellStart"/>
      <w:r>
        <w:rPr>
          <w:lang w:val="es-ES"/>
        </w:rPr>
        <w:t>ii</w:t>
      </w:r>
      <w:proofErr w:type="spellEnd"/>
      <w:r>
        <w:rPr>
          <w:lang w:val="es-ES"/>
        </w:rPr>
        <w:t xml:space="preserve">) el RI asociado al cargo por distribución con comercialización (RI por </w:t>
      </w:r>
      <w:r>
        <w:rPr>
          <w:lang w:val="es-ES"/>
        </w:rPr>
        <w:lastRenderedPageBreak/>
        <w:t xml:space="preserve">distribución), </w:t>
      </w:r>
      <w:proofErr w:type="spellStart"/>
      <w:r>
        <w:rPr>
          <w:lang w:val="es-ES"/>
        </w:rPr>
        <w:t>iii</w:t>
      </w:r>
      <w:proofErr w:type="spellEnd"/>
      <w:r>
        <w:rPr>
          <w:lang w:val="es-ES"/>
        </w:rPr>
        <w:t xml:space="preserve">) la energía y </w:t>
      </w:r>
      <w:proofErr w:type="spellStart"/>
      <w:r>
        <w:rPr>
          <w:lang w:val="es-ES"/>
        </w:rPr>
        <w:t>iv</w:t>
      </w:r>
      <w:proofErr w:type="spellEnd"/>
      <w:r>
        <w:rPr>
          <w:lang w:val="es-ES"/>
        </w:rPr>
        <w:t>) proyección del número de usuarios. En la Tabla 5 se muestra la secuencia de dichos cálculos.</w:t>
      </w:r>
    </w:p>
    <w:p w14:paraId="7B45C9DD" w14:textId="77777777" w:rsidR="0072097E" w:rsidRDefault="0072097E">
      <w:pPr>
        <w:spacing w:line="360" w:lineRule="auto"/>
        <w:jc w:val="both"/>
        <w:rPr>
          <w:lang w:val="es-ES"/>
        </w:rPr>
      </w:pPr>
    </w:p>
    <w:p w14:paraId="3F5E2297" w14:textId="77777777" w:rsidR="0072097E" w:rsidRDefault="00000000" w:rsidP="000E2659">
      <w:pPr>
        <w:spacing w:line="360" w:lineRule="auto"/>
        <w:jc w:val="center"/>
        <w:rPr>
          <w:b/>
          <w:bCs/>
          <w:lang w:val="es-ES"/>
        </w:rPr>
      </w:pPr>
      <w:r>
        <w:rPr>
          <w:b/>
          <w:bCs/>
          <w:lang w:val="es-ES"/>
        </w:rPr>
        <w:t xml:space="preserve">Tabla 5. </w:t>
      </w:r>
      <w:r>
        <w:rPr>
          <w:lang w:val="es-ES"/>
        </w:rPr>
        <w:t xml:space="preserve">Secuencia para el cálculo del requerimiento de ingresos por servicio y del requerimiento de ingresos por distribución </w:t>
      </w:r>
    </w:p>
    <w:tbl>
      <w:tblPr>
        <w:tblStyle w:val="Tablaconcuadrcula"/>
        <w:tblW w:w="8828" w:type="dxa"/>
        <w:jc w:val="center"/>
        <w:tblLayout w:type="fixed"/>
        <w:tblLook w:val="04A0" w:firstRow="1" w:lastRow="0" w:firstColumn="1" w:lastColumn="0" w:noHBand="0" w:noVBand="1"/>
      </w:tblPr>
      <w:tblGrid>
        <w:gridCol w:w="1399"/>
        <w:gridCol w:w="2854"/>
        <w:gridCol w:w="4575"/>
      </w:tblGrid>
      <w:tr w:rsidR="0072097E" w:rsidRPr="000E2659" w14:paraId="5658CA86" w14:textId="77777777" w:rsidTr="000E2659">
        <w:trPr>
          <w:trHeight w:val="164"/>
          <w:jc w:val="center"/>
        </w:trPr>
        <w:tc>
          <w:tcPr>
            <w:tcW w:w="1399" w:type="dxa"/>
            <w:vAlign w:val="center"/>
          </w:tcPr>
          <w:p w14:paraId="1961C5B6" w14:textId="77777777" w:rsidR="0072097E" w:rsidRPr="000E2659" w:rsidRDefault="00000000">
            <w:pPr>
              <w:jc w:val="center"/>
              <w:rPr>
                <w:lang w:val="es-ES"/>
              </w:rPr>
            </w:pPr>
            <w:r w:rsidRPr="000E2659">
              <w:rPr>
                <w:lang w:val="es-ES"/>
              </w:rPr>
              <w:t>Variable</w:t>
            </w:r>
          </w:p>
        </w:tc>
        <w:tc>
          <w:tcPr>
            <w:tcW w:w="2854" w:type="dxa"/>
            <w:vAlign w:val="center"/>
          </w:tcPr>
          <w:p w14:paraId="56EA9C33" w14:textId="77777777" w:rsidR="0072097E" w:rsidRPr="000E2659" w:rsidRDefault="00000000">
            <w:pPr>
              <w:jc w:val="center"/>
              <w:rPr>
                <w:lang w:val="es-ES"/>
              </w:rPr>
            </w:pPr>
            <w:r w:rsidRPr="000E2659">
              <w:rPr>
                <w:lang w:val="es-ES"/>
              </w:rPr>
              <w:t>Fórmula de cálculo</w:t>
            </w:r>
          </w:p>
        </w:tc>
        <w:tc>
          <w:tcPr>
            <w:tcW w:w="4575" w:type="dxa"/>
            <w:vAlign w:val="center"/>
          </w:tcPr>
          <w:p w14:paraId="01773C81" w14:textId="77777777" w:rsidR="0072097E" w:rsidRPr="000E2659" w:rsidRDefault="00000000">
            <w:pPr>
              <w:jc w:val="center"/>
              <w:rPr>
                <w:lang w:val="es-ES"/>
              </w:rPr>
            </w:pPr>
            <w:r w:rsidRPr="000E2659">
              <w:rPr>
                <w:lang w:val="es-ES"/>
              </w:rPr>
              <w:t>Definiciones</w:t>
            </w:r>
          </w:p>
        </w:tc>
      </w:tr>
      <w:tr w:rsidR="0072097E" w:rsidRPr="000E2659" w14:paraId="764F1B1F" w14:textId="77777777" w:rsidTr="000E2659">
        <w:trPr>
          <w:trHeight w:val="2152"/>
          <w:jc w:val="center"/>
        </w:trPr>
        <w:tc>
          <w:tcPr>
            <w:tcW w:w="1399" w:type="dxa"/>
            <w:vAlign w:val="center"/>
          </w:tcPr>
          <w:p w14:paraId="275E5039" w14:textId="77777777" w:rsidR="0072097E" w:rsidRPr="000E2659" w:rsidRDefault="00000000">
            <w:pPr>
              <w:rPr>
                <w:lang w:val="es-ES"/>
              </w:rPr>
            </w:pPr>
            <w:r w:rsidRPr="000E2659">
              <w:rPr>
                <w:lang w:val="es-ES"/>
              </w:rPr>
              <w:t>1. RI por servicio</w:t>
            </w:r>
          </w:p>
        </w:tc>
        <w:tc>
          <w:tcPr>
            <w:tcW w:w="2854" w:type="dxa"/>
            <w:vAlign w:val="center"/>
          </w:tcPr>
          <w:p w14:paraId="68385BF8" w14:textId="77777777" w:rsidR="0072097E" w:rsidRPr="000E2659" w:rsidRDefault="00000000">
            <m:oMathPara>
              <m:oMathParaPr>
                <m:jc m:val="left"/>
              </m:oMathParaPr>
              <m:oMath>
                <m:sSub>
                  <m:sSubPr>
                    <m:ctrlPr>
                      <w:rPr>
                        <w:rFonts w:ascii="Cambria Math" w:hAnsi="Cambria Math"/>
                      </w:rPr>
                    </m:ctrlPr>
                  </m:sSubPr>
                  <m:e>
                    <m:r>
                      <w:rPr>
                        <w:rFonts w:ascii="Cambria Math" w:hAnsi="Cambria Math"/>
                      </w:rPr>
                      <m:t>RICS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USU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i</m:t>
                    </m:r>
                  </m:sub>
                </m:sSub>
                <m:r>
                  <w:rPr>
                    <w:rFonts w:ascii="Cambria Math" w:hAnsi="Cambria Math"/>
                  </w:rPr>
                  <m:t>*60</m:t>
                </m:r>
              </m:oMath>
            </m:oMathPara>
          </w:p>
          <w:p w14:paraId="552D1AF3" w14:textId="77777777" w:rsidR="0072097E" w:rsidRPr="000E2659" w:rsidRDefault="0072097E"/>
          <w:p w14:paraId="3E6FBEA9" w14:textId="77777777" w:rsidR="0072097E" w:rsidRPr="000E2659" w:rsidRDefault="00000000">
            <w:pPr>
              <w:pStyle w:val="Prrafodelista"/>
              <w:numPr>
                <w:ilvl w:val="1"/>
                <w:numId w:val="1"/>
              </w:numPr>
              <w:spacing w:after="0" w:line="240" w:lineRule="auto"/>
              <w:rPr>
                <w:rFonts w:ascii="Times New Roman" w:hAnsi="Times New Roman" w:cs="Times New Roman"/>
                <w:sz w:val="24"/>
                <w:szCs w:val="24"/>
              </w:rPr>
            </w:pPr>
            <w:r w:rsidRPr="000E2659">
              <w:rPr>
                <w:rFonts w:ascii="Times New Roman" w:hAnsi="Times New Roman" w:cs="Times New Roman"/>
                <w:sz w:val="24"/>
                <w:szCs w:val="24"/>
              </w:rPr>
              <w:t>Número de usuarios</w:t>
            </w:r>
          </w:p>
          <w:p w14:paraId="5FF21FD3" w14:textId="77777777" w:rsidR="0072097E" w:rsidRPr="000E2659" w:rsidRDefault="0072097E">
            <w:pPr>
              <w:pStyle w:val="Prrafodelista"/>
              <w:spacing w:after="0" w:line="240" w:lineRule="auto"/>
              <w:ind w:left="360"/>
              <w:rPr>
                <w:rFonts w:ascii="Times New Roman" w:hAnsi="Times New Roman" w:cs="Times New Roman"/>
                <w:b/>
                <w:bCs/>
                <w:sz w:val="24"/>
                <w:szCs w:val="24"/>
              </w:rPr>
            </w:pPr>
          </w:p>
          <w:p w14:paraId="66BBD7F6"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USU</m:t>
                    </m:r>
                  </m:e>
                  <m:sub>
                    <m:r>
                      <w:rPr>
                        <w:rFonts w:ascii="Cambria Math" w:hAnsi="Cambria Math"/>
                      </w:rPr>
                      <m:t>i</m:t>
                    </m:r>
                  </m:sub>
                </m:sSub>
                <m:r>
                  <w:rPr>
                    <w:rFonts w:ascii="Cambria Math" w:hAnsi="Cambria Math"/>
                  </w:rPr>
                  <m:t>=</m:t>
                </m:r>
                <m:r>
                  <m:rPr>
                    <m:lit/>
                    <m:nor/>
                  </m:rPr>
                  <m:t>%</m:t>
                </m:r>
                <m:sSub>
                  <m:sSubPr>
                    <m:ctrlPr>
                      <w:rPr>
                        <w:rFonts w:ascii="Cambria Math" w:hAnsi="Cambria Math"/>
                      </w:rPr>
                    </m:ctrlPr>
                  </m:sSubPr>
                  <m:e>
                    <m:r>
                      <w:rPr>
                        <w:rFonts w:ascii="Cambria Math" w:hAnsi="Cambria Math"/>
                      </w:rPr>
                      <m:t>USU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USU</m:t>
                    </m:r>
                  </m:e>
                  <m:sub>
                    <m:r>
                      <w:rPr>
                        <w:rFonts w:ascii="Cambria Math" w:hAnsi="Cambria Math"/>
                      </w:rPr>
                      <m:t>promedio</m:t>
                    </m:r>
                  </m:sub>
                </m:sSub>
              </m:oMath>
            </m:oMathPara>
          </w:p>
        </w:tc>
        <w:tc>
          <w:tcPr>
            <w:tcW w:w="4575" w:type="dxa"/>
            <w:vMerge w:val="restart"/>
          </w:tcPr>
          <w:p w14:paraId="4F58F14D" w14:textId="77777777" w:rsidR="0072097E" w:rsidRPr="000E2659" w:rsidRDefault="00000000">
            <w:pPr>
              <w:jc w:val="both"/>
              <w:rPr>
                <w:lang w:val="es-ES"/>
              </w:rPr>
            </w:pPr>
            <m:oMath>
              <m:sSub>
                <m:sSubPr>
                  <m:ctrlPr>
                    <w:rPr>
                      <w:rFonts w:ascii="Cambria Math" w:hAnsi="Cambria Math"/>
                    </w:rPr>
                  </m:ctrlPr>
                </m:sSubPr>
                <m:e>
                  <m:r>
                    <w:rPr>
                      <w:rFonts w:ascii="Cambria Math" w:hAnsi="Cambria Math"/>
                    </w:rPr>
                    <m:t>RICS</m:t>
                  </m:r>
                </m:e>
                <m:sub>
                  <m:r>
                    <w:rPr>
                      <w:rFonts w:ascii="Cambria Math" w:hAnsi="Cambria Math"/>
                    </w:rPr>
                    <m:t>i</m:t>
                  </m:r>
                </m:sub>
              </m:sSub>
              <m:r>
                <w:rPr>
                  <w:rFonts w:ascii="Cambria Math" w:hAnsi="Cambria Math"/>
                </w:rPr>
                <m:t>=</m:t>
              </m:r>
            </m:oMath>
            <w:r w:rsidRPr="000E2659">
              <w:t>Requerimiento de ingresos del cargo por servicio del grupo tarifario i.</w:t>
            </w:r>
          </w:p>
          <w:p w14:paraId="222DF742" w14:textId="77777777" w:rsidR="0072097E" w:rsidRPr="000E2659" w:rsidRDefault="00000000">
            <w:pPr>
              <w:jc w:val="both"/>
            </w:pPr>
            <m:oMath>
              <m:sSub>
                <m:sSubPr>
                  <m:ctrlPr>
                    <w:rPr>
                      <w:rFonts w:ascii="Cambria Math" w:hAnsi="Cambria Math"/>
                    </w:rPr>
                  </m:ctrlPr>
                </m:sSubPr>
                <m:e>
                  <m:r>
                    <w:rPr>
                      <w:rFonts w:ascii="Cambria Math" w:hAnsi="Cambria Math"/>
                    </w:rPr>
                    <m:t>USU</m:t>
                  </m:r>
                </m:e>
                <m:sub>
                  <m:r>
                    <w:rPr>
                      <w:rFonts w:ascii="Cambria Math" w:hAnsi="Cambria Math"/>
                    </w:rPr>
                    <m:t>i</m:t>
                  </m:r>
                </m:sub>
              </m:sSub>
              <m:r>
                <w:rPr>
                  <w:rFonts w:ascii="Cambria Math" w:hAnsi="Cambria Math"/>
                </w:rPr>
                <m:t>=</m:t>
              </m:r>
            </m:oMath>
            <w:r w:rsidRPr="000E2659">
              <w:t>Número de usuarios del grupo tarifario i.</w:t>
            </w:r>
          </w:p>
          <w:p w14:paraId="5873621C" w14:textId="77777777" w:rsidR="0072097E" w:rsidRPr="000E2659" w:rsidRDefault="00000000">
            <w:pPr>
              <w:jc w:val="both"/>
            </w:pPr>
            <m:oMath>
              <m:sSub>
                <m:sSubPr>
                  <m:ctrlPr>
                    <w:rPr>
                      <w:rFonts w:ascii="Cambria Math" w:hAnsi="Cambria Math"/>
                    </w:rPr>
                  </m:ctrlPr>
                </m:sSubPr>
                <m:e>
                  <m:r>
                    <w:rPr>
                      <w:rFonts w:ascii="Cambria Math" w:hAnsi="Cambria Math"/>
                    </w:rPr>
                    <m:t>CS</m:t>
                  </m:r>
                </m:e>
                <m:sub>
                  <m:r>
                    <w:rPr>
                      <w:rFonts w:ascii="Cambria Math" w:hAnsi="Cambria Math"/>
                    </w:rPr>
                    <m:t>i</m:t>
                  </m:r>
                </m:sub>
              </m:sSub>
              <m:r>
                <w:rPr>
                  <w:rFonts w:ascii="Cambria Math" w:hAnsi="Cambria Math"/>
                </w:rPr>
                <m:t>=</m:t>
              </m:r>
            </m:oMath>
            <w:r w:rsidRPr="000E2659">
              <w:t>Cargo por servicio del grupo tarifario i.</w:t>
            </w:r>
          </w:p>
          <w:p w14:paraId="5D87C2C8" w14:textId="77777777" w:rsidR="0072097E" w:rsidRPr="000E2659" w:rsidRDefault="00000000">
            <w:pPr>
              <w:jc w:val="both"/>
            </w:pPr>
            <w:r w:rsidRPr="000E2659">
              <w:t>60 = Número de meses del quinquenio.</w:t>
            </w:r>
          </w:p>
          <w:p w14:paraId="3C48611A" w14:textId="77777777" w:rsidR="0072097E" w:rsidRPr="000E2659" w:rsidRDefault="00000000">
            <w:pPr>
              <w:jc w:val="both"/>
            </w:pPr>
            <m:oMath>
              <m:r>
                <m:rPr>
                  <m:lit/>
                  <m:nor/>
                </m:rPr>
                <m:t>%</m:t>
              </m:r>
              <m:sSub>
                <m:sSubPr>
                  <m:ctrlPr>
                    <w:rPr>
                      <w:rFonts w:ascii="Cambria Math" w:hAnsi="Cambria Math"/>
                    </w:rPr>
                  </m:ctrlPr>
                </m:sSubPr>
                <m:e>
                  <m:r>
                    <w:rPr>
                      <w:rFonts w:ascii="Cambria Math" w:hAnsi="Cambria Math"/>
                    </w:rPr>
                    <m:t>USU</m:t>
                  </m:r>
                </m:e>
                <m:sub>
                  <m:r>
                    <w:rPr>
                      <w:rFonts w:ascii="Cambria Math" w:hAnsi="Cambria Math"/>
                    </w:rPr>
                    <m:t>i</m:t>
                  </m:r>
                </m:sub>
              </m:sSub>
              <m:r>
                <w:rPr>
                  <w:rFonts w:ascii="Cambria Math" w:hAnsi="Cambria Math"/>
                </w:rPr>
                <m:t>=</m:t>
              </m:r>
            </m:oMath>
            <w:r w:rsidRPr="000E2659">
              <w:t xml:space="preserve">Porcentaje de usuarios del grupo tarifario i, estimado con base en el promedio quinquenal del número de usuarios solicitado por la empresa, presentado en la columna 4 de la Tabla 3. </w:t>
            </w:r>
          </w:p>
          <w:p w14:paraId="3FC1F23F" w14:textId="77777777" w:rsidR="0072097E" w:rsidRPr="000E2659" w:rsidRDefault="00000000">
            <w:pPr>
              <w:jc w:val="both"/>
            </w:pPr>
            <m:oMath>
              <m:sSub>
                <m:sSubPr>
                  <m:ctrlPr>
                    <w:rPr>
                      <w:rFonts w:ascii="Cambria Math" w:hAnsi="Cambria Math"/>
                    </w:rPr>
                  </m:ctrlPr>
                </m:sSubPr>
                <m:e>
                  <m:r>
                    <w:rPr>
                      <w:rFonts w:ascii="Cambria Math" w:hAnsi="Cambria Math"/>
                    </w:rPr>
                    <m:t>USU</m:t>
                  </m:r>
                </m:e>
                <m:sub>
                  <m:r>
                    <w:rPr>
                      <w:rFonts w:ascii="Cambria Math" w:hAnsi="Cambria Math"/>
                    </w:rPr>
                    <m:t>promedio</m:t>
                  </m:r>
                </m:sub>
              </m:sSub>
              <m:r>
                <w:rPr>
                  <w:rFonts w:ascii="Cambria Math" w:hAnsi="Cambria Math"/>
                </w:rPr>
                <m:t>=</m:t>
              </m:r>
            </m:oMath>
            <w:r w:rsidRPr="000E2659">
              <w:t>Promedio del número de usuarios aprobados por la CRE (622,575).</w:t>
            </w:r>
          </w:p>
          <w:p w14:paraId="0E771F86" w14:textId="77777777" w:rsidR="0072097E" w:rsidRPr="000E2659" w:rsidRDefault="00000000">
            <w:pPr>
              <w:jc w:val="both"/>
            </w:pPr>
            <m:oMath>
              <m:sSub>
                <m:sSubPr>
                  <m:ctrlPr>
                    <w:rPr>
                      <w:rFonts w:ascii="Cambria Math" w:hAnsi="Cambria Math"/>
                    </w:rPr>
                  </m:ctrlPr>
                </m:sSubPr>
                <m:e>
                  <m:r>
                    <w:rPr>
                      <w:rFonts w:ascii="Cambria Math" w:hAnsi="Cambria Math"/>
                    </w:rPr>
                    <m:t>RICDC</m:t>
                  </m:r>
                </m:e>
                <m:sub>
                  <m:r>
                    <w:rPr>
                      <w:rFonts w:ascii="Cambria Math" w:hAnsi="Cambria Math"/>
                    </w:rPr>
                    <m:t>i</m:t>
                  </m:r>
                </m:sub>
              </m:sSub>
              <m:r>
                <w:rPr>
                  <w:rFonts w:ascii="Cambria Math" w:hAnsi="Cambria Math"/>
                </w:rPr>
                <m:t>=</m:t>
              </m:r>
            </m:oMath>
            <w:r w:rsidRPr="000E2659">
              <w:t xml:space="preserve"> Requerimiento de ingresos asociado al cargo por distribución con comercialización del grupo tarifario i.</w:t>
            </w:r>
          </w:p>
          <w:p w14:paraId="0B0119D8" w14:textId="77777777" w:rsidR="0072097E" w:rsidRPr="000E2659" w:rsidRDefault="00000000">
            <w:pPr>
              <w:jc w:val="both"/>
            </w:pPr>
            <m:oMath>
              <m:sSub>
                <m:sSubPr>
                  <m:ctrlPr>
                    <w:rPr>
                      <w:rFonts w:ascii="Cambria Math" w:hAnsi="Cambria Math"/>
                    </w:rPr>
                  </m:ctrlPr>
                </m:sSubPr>
                <m:e>
                  <m:r>
                    <w:rPr>
                      <w:rFonts w:ascii="Cambria Math" w:hAnsi="Cambria Math"/>
                    </w:rPr>
                    <m:t>RI</m:t>
                  </m:r>
                </m:e>
                <m:sub>
                  <m:r>
                    <w:rPr>
                      <w:rFonts w:ascii="Cambria Math" w:hAnsi="Cambria Math"/>
                    </w:rPr>
                    <m:t>i</m:t>
                  </m:r>
                </m:sub>
              </m:sSub>
              <m:r>
                <w:rPr>
                  <w:rFonts w:ascii="Cambria Math" w:hAnsi="Cambria Math"/>
                </w:rPr>
                <m:t>=</m:t>
              </m:r>
            </m:oMath>
            <w:r w:rsidRPr="000E2659">
              <w:t xml:space="preserve"> Requerimiento de ingresos del grupo tarifario i.</w:t>
            </w:r>
          </w:p>
          <w:p w14:paraId="444935DB" w14:textId="77777777" w:rsidR="0072097E" w:rsidRPr="000E2659" w:rsidRDefault="00000000">
            <w:pPr>
              <w:jc w:val="both"/>
            </w:pPr>
            <m:oMath>
              <m:sSub>
                <m:sSubPr>
                  <m:ctrlPr>
                    <w:rPr>
                      <w:rFonts w:ascii="Cambria Math" w:hAnsi="Cambria Math"/>
                    </w:rPr>
                  </m:ctrlPr>
                </m:sSubPr>
                <m:e>
                  <m:r>
                    <w:rPr>
                      <w:rFonts w:ascii="Cambria Math" w:hAnsi="Cambria Math"/>
                    </w:rPr>
                    <m:t>Ene</m:t>
                  </m:r>
                </m:e>
                <m:sub>
                  <m:r>
                    <w:rPr>
                      <w:rFonts w:ascii="Cambria Math" w:hAnsi="Cambria Math"/>
                    </w:rPr>
                    <m:t>i</m:t>
                  </m:r>
                </m:sub>
              </m:sSub>
              <m:r>
                <w:rPr>
                  <w:rFonts w:ascii="Cambria Math" w:hAnsi="Cambria Math"/>
                </w:rPr>
                <m:t>=</m:t>
              </m:r>
            </m:oMath>
            <w:r w:rsidRPr="000E2659">
              <w:t>Energía del grupo tarifario i.</w:t>
            </w:r>
          </w:p>
          <w:p w14:paraId="47A3E9DA" w14:textId="77777777" w:rsidR="0072097E" w:rsidRPr="000E2659" w:rsidRDefault="00000000">
            <w:pPr>
              <w:jc w:val="both"/>
            </w:pPr>
            <m:oMath>
              <m:sSub>
                <m:sSubPr>
                  <m:ctrlPr>
                    <w:rPr>
                      <w:rFonts w:ascii="Cambria Math" w:hAnsi="Cambria Math"/>
                    </w:rPr>
                  </m:ctrlPr>
                </m:sSubPr>
                <m:e>
                  <m:r>
                    <w:rPr>
                      <w:rFonts w:ascii="Cambria Math" w:hAnsi="Cambria Math"/>
                    </w:rPr>
                    <m:t>CDC</m:t>
                  </m:r>
                </m:e>
                <m:sub>
                  <m:r>
                    <w:rPr>
                      <w:rFonts w:ascii="Cambria Math" w:hAnsi="Cambria Math"/>
                    </w:rPr>
                    <m:t>i</m:t>
                  </m:r>
                </m:sub>
              </m:sSub>
              <m:r>
                <w:rPr>
                  <w:rFonts w:ascii="Cambria Math" w:hAnsi="Cambria Math"/>
                </w:rPr>
                <m:t>=</m:t>
              </m:r>
            </m:oMath>
            <w:r w:rsidRPr="000E2659">
              <w:t xml:space="preserve"> Cargo por distribución con comercialización del grupo tarifario i.</w:t>
            </w:r>
          </w:p>
        </w:tc>
      </w:tr>
      <w:tr w:rsidR="0072097E" w:rsidRPr="000E2659" w14:paraId="5F1F534D" w14:textId="77777777" w:rsidTr="000E2659">
        <w:trPr>
          <w:trHeight w:val="2152"/>
          <w:jc w:val="center"/>
        </w:trPr>
        <w:tc>
          <w:tcPr>
            <w:tcW w:w="1399" w:type="dxa"/>
            <w:vAlign w:val="center"/>
          </w:tcPr>
          <w:p w14:paraId="53D066AD" w14:textId="77777777" w:rsidR="0072097E" w:rsidRPr="000E2659" w:rsidRDefault="00000000">
            <w:pPr>
              <w:rPr>
                <w:lang w:val="es-ES"/>
              </w:rPr>
            </w:pPr>
            <w:r w:rsidRPr="000E2659">
              <w:rPr>
                <w:lang w:val="es-ES"/>
              </w:rPr>
              <w:t xml:space="preserve">2. RI por distribución </w:t>
            </w:r>
          </w:p>
        </w:tc>
        <w:tc>
          <w:tcPr>
            <w:tcW w:w="2854" w:type="dxa"/>
            <w:vAlign w:val="center"/>
          </w:tcPr>
          <w:p w14:paraId="7CFFE2C5" w14:textId="77777777" w:rsidR="0072097E" w:rsidRPr="000E2659" w:rsidRDefault="00000000">
            <m:oMathPara>
              <m:oMathParaPr>
                <m:jc m:val="left"/>
              </m:oMathParaPr>
              <m:oMath>
                <m:sSub>
                  <m:sSubPr>
                    <m:ctrlPr>
                      <w:rPr>
                        <w:rFonts w:ascii="Cambria Math" w:hAnsi="Cambria Math"/>
                      </w:rPr>
                    </m:ctrlPr>
                  </m:sSubPr>
                  <m:e>
                    <m:r>
                      <w:rPr>
                        <w:rFonts w:ascii="Cambria Math" w:hAnsi="Cambria Math"/>
                      </w:rPr>
                      <m:t>RICDC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RICS</m:t>
                    </m:r>
                  </m:e>
                  <m:sub>
                    <m:r>
                      <w:rPr>
                        <w:rFonts w:ascii="Cambria Math" w:hAnsi="Cambria Math"/>
                      </w:rPr>
                      <m:t>i</m:t>
                    </m:r>
                  </m:sub>
                </m:sSub>
              </m:oMath>
            </m:oMathPara>
          </w:p>
          <w:p w14:paraId="7FAB9D4B" w14:textId="77777777" w:rsidR="0072097E" w:rsidRPr="000E2659" w:rsidRDefault="0072097E">
            <w:pPr>
              <w:rPr>
                <w:lang w:val="es-ES"/>
              </w:rPr>
            </w:pPr>
          </w:p>
          <w:p w14:paraId="75BE3EA7" w14:textId="77777777" w:rsidR="0072097E" w:rsidRPr="000E2659" w:rsidRDefault="00000000">
            <w:pPr>
              <w:rPr>
                <w:lang w:val="es-ES"/>
              </w:rPr>
            </w:pPr>
            <w:r w:rsidRPr="000E2659">
              <w:rPr>
                <w:rFonts w:eastAsiaTheme="minorEastAsia"/>
                <w:lang w:val="es-ES"/>
              </w:rPr>
              <w:t>2.1 Energía quinquenal implícita</w:t>
            </w:r>
          </w:p>
          <w:p w14:paraId="1E7688FA" w14:textId="77777777" w:rsidR="0072097E" w:rsidRPr="000E2659" w:rsidRDefault="0072097E">
            <w:pPr>
              <w:rPr>
                <w:b/>
                <w:bCs/>
                <w:lang w:val="es-ES"/>
              </w:rPr>
            </w:pPr>
          </w:p>
          <w:p w14:paraId="44719F7C" w14:textId="77777777" w:rsidR="0072097E" w:rsidRPr="000E2659" w:rsidRDefault="00000000">
            <w:pPr>
              <w:rPr>
                <w:lang w:val="es-ES"/>
              </w:rPr>
            </w:pPr>
            <m:oMath>
              <m:sSub>
                <m:sSubPr>
                  <m:ctrlPr>
                    <w:rPr>
                      <w:rFonts w:ascii="Cambria Math" w:hAnsi="Cambria Math"/>
                    </w:rPr>
                  </m:ctrlPr>
                </m:sSubPr>
                <m:e>
                  <m:r>
                    <w:rPr>
                      <w:rFonts w:ascii="Cambria Math" w:hAnsi="Cambria Math"/>
                    </w:rPr>
                    <m:t>Ene</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RICDC</m:t>
                      </m:r>
                    </m:e>
                    <m:sub>
                      <m:r>
                        <w:rPr>
                          <w:rFonts w:ascii="Cambria Math" w:hAnsi="Cambria Math"/>
                        </w:rPr>
                        <m:t>i</m:t>
                      </m:r>
                    </m:sub>
                  </m:sSub>
                </m:num>
                <m:den>
                  <m:sSub>
                    <m:sSubPr>
                      <m:ctrlPr>
                        <w:rPr>
                          <w:rFonts w:ascii="Cambria Math" w:hAnsi="Cambria Math"/>
                        </w:rPr>
                      </m:ctrlPr>
                    </m:sSubPr>
                    <m:e>
                      <m:r>
                        <w:rPr>
                          <w:rFonts w:ascii="Cambria Math" w:hAnsi="Cambria Math"/>
                        </w:rPr>
                        <m:t>CDC</m:t>
                      </m:r>
                    </m:e>
                    <m:sub>
                      <m:r>
                        <w:rPr>
                          <w:rFonts w:ascii="Cambria Math" w:hAnsi="Cambria Math"/>
                        </w:rPr>
                        <m:t>i</m:t>
                      </m:r>
                    </m:sub>
                  </m:sSub>
                </m:den>
              </m:f>
            </m:oMath>
            <w:r w:rsidRPr="000E2659">
              <w:tab/>
            </w:r>
          </w:p>
        </w:tc>
        <w:tc>
          <w:tcPr>
            <w:tcW w:w="4575" w:type="dxa"/>
            <w:vMerge/>
          </w:tcPr>
          <w:p w14:paraId="56002885" w14:textId="77777777" w:rsidR="0072097E" w:rsidRPr="000E2659" w:rsidRDefault="0072097E">
            <w:pPr>
              <w:jc w:val="both"/>
              <w:rPr>
                <w:lang w:val="es-ES"/>
              </w:rPr>
            </w:pPr>
          </w:p>
        </w:tc>
      </w:tr>
    </w:tbl>
    <w:p w14:paraId="50FD63B0" w14:textId="6E95A87E" w:rsidR="0072097E" w:rsidRPr="000E2659" w:rsidRDefault="00000000" w:rsidP="000E2659">
      <w:pPr>
        <w:jc w:val="center"/>
      </w:pPr>
      <w:r w:rsidRPr="000E2659">
        <w:t>Fuente: Elaboración propia</w:t>
      </w:r>
    </w:p>
    <w:p w14:paraId="23E634E6" w14:textId="77777777" w:rsidR="0072097E" w:rsidRDefault="00000000" w:rsidP="000E2659">
      <w:pPr>
        <w:spacing w:line="360" w:lineRule="auto"/>
        <w:jc w:val="both"/>
        <w:rPr>
          <w:lang w:val="es-ES"/>
        </w:rPr>
      </w:pPr>
      <w:r>
        <w:rPr>
          <w:b/>
          <w:bCs/>
          <w:i/>
          <w:iCs/>
          <w:lang w:val="es-ES"/>
        </w:rPr>
        <w:tab/>
        <w:t xml:space="preserve">Segunda etapa: </w:t>
      </w:r>
      <w:r>
        <w:rPr>
          <w:lang w:val="es-ES"/>
        </w:rPr>
        <w:t>Este segundo conjunto de cálculos requiere llegar a la reconstrucción de la estructura del RI en sus cuatro grandes componentes. Ello permite constatar si las tarifas autorizadas por la CRE están fundamentadas en un análisis de costos por grupo de usuarios.</w:t>
      </w:r>
    </w:p>
    <w:p w14:paraId="51882CDA" w14:textId="77777777" w:rsidR="0072097E" w:rsidRDefault="00000000" w:rsidP="000E2659">
      <w:pPr>
        <w:spacing w:line="360" w:lineRule="auto"/>
        <w:jc w:val="both"/>
        <w:rPr>
          <w:lang w:val="es-ES"/>
        </w:rPr>
      </w:pPr>
      <w:r>
        <w:rPr>
          <w:lang w:val="es-ES"/>
        </w:rPr>
        <w:tab/>
        <w:t xml:space="preserve">Se requiere inicialmente determinar la base de activos y los costos OMAV, y después calcular la rentabilidad, la depreciación y el monto de impuestos. Sin embargo, se tienen dos grandes incógnitas el porcentaje de inversiones y el porcentaje de costos OMAV autorizados por la CRE a la empresa respecto de su propuesta. Para ello </w:t>
      </w:r>
      <w:r>
        <w:t xml:space="preserve">se hace uso de la herramienta </w:t>
      </w:r>
      <w:proofErr w:type="spellStart"/>
      <w:r>
        <w:t>s</w:t>
      </w:r>
      <w:r>
        <w:rPr>
          <w:i/>
          <w:iCs/>
        </w:rPr>
        <w:t>olver</w:t>
      </w:r>
      <w:proofErr w:type="spellEnd"/>
      <w:r>
        <w:t xml:space="preserve"> contenida en Excel, con el fin de estimar el porcentaje de costos OMAV “autorizados” por la CRE, dado un porcentaje “autorizado” del monto de inversiones propuesto por la empresa, a fin de obtener el RI autorizado por la CRE.</w:t>
      </w:r>
    </w:p>
    <w:p w14:paraId="702D841B" w14:textId="77777777" w:rsidR="0072097E" w:rsidRDefault="00000000" w:rsidP="000E2659">
      <w:pPr>
        <w:spacing w:line="360" w:lineRule="auto"/>
        <w:jc w:val="both"/>
        <w:rPr>
          <w:lang w:val="es-ES"/>
        </w:rPr>
      </w:pPr>
      <w:r>
        <w:rPr>
          <w:lang w:val="es-ES"/>
        </w:rPr>
        <w:t>Para facilitar la comprensión de la secuencia de la contabilidad que se aplica, se agrupan las fórmulas empleadas en las tablas 6 y 7 siguientes.</w:t>
      </w:r>
    </w:p>
    <w:p w14:paraId="1D31E2A4" w14:textId="77777777" w:rsidR="0072097E" w:rsidRDefault="0072097E" w:rsidP="000E2659">
      <w:pPr>
        <w:spacing w:line="360" w:lineRule="auto"/>
        <w:jc w:val="both"/>
        <w:rPr>
          <w:lang w:val="es-ES"/>
        </w:rPr>
      </w:pPr>
    </w:p>
    <w:p w14:paraId="1DD07789" w14:textId="77777777" w:rsidR="0072097E" w:rsidRDefault="00000000" w:rsidP="000E2659">
      <w:pPr>
        <w:spacing w:line="360" w:lineRule="auto"/>
        <w:jc w:val="center"/>
        <w:rPr>
          <w:b/>
          <w:bCs/>
          <w:lang w:val="es-ES"/>
        </w:rPr>
      </w:pPr>
      <w:r>
        <w:rPr>
          <w:b/>
          <w:bCs/>
          <w:lang w:val="es-ES"/>
        </w:rPr>
        <w:lastRenderedPageBreak/>
        <w:t xml:space="preserve">Tabla 6. </w:t>
      </w:r>
      <w:r>
        <w:rPr>
          <w:lang w:val="es-ES"/>
        </w:rPr>
        <w:t>Secuencia para el cálculo de la base de activos</w:t>
      </w:r>
    </w:p>
    <w:tbl>
      <w:tblPr>
        <w:tblStyle w:val="Tablaconcuadrcula"/>
        <w:tblW w:w="8837" w:type="dxa"/>
        <w:tblLayout w:type="fixed"/>
        <w:tblLook w:val="04A0" w:firstRow="1" w:lastRow="0" w:firstColumn="1" w:lastColumn="0" w:noHBand="0" w:noVBand="1"/>
      </w:tblPr>
      <w:tblGrid>
        <w:gridCol w:w="2295"/>
        <w:gridCol w:w="3229"/>
        <w:gridCol w:w="3313"/>
      </w:tblGrid>
      <w:tr w:rsidR="0072097E" w:rsidRPr="000E2659" w14:paraId="0BBC8FD5" w14:textId="77777777" w:rsidTr="000E2659">
        <w:trPr>
          <w:trHeight w:val="20"/>
        </w:trPr>
        <w:tc>
          <w:tcPr>
            <w:tcW w:w="2295" w:type="dxa"/>
            <w:vAlign w:val="center"/>
          </w:tcPr>
          <w:p w14:paraId="618680F5" w14:textId="77777777" w:rsidR="0072097E" w:rsidRPr="000E2659" w:rsidRDefault="00000000">
            <w:pPr>
              <w:jc w:val="center"/>
              <w:rPr>
                <w:lang w:val="es-ES"/>
              </w:rPr>
            </w:pPr>
            <w:r w:rsidRPr="000E2659">
              <w:rPr>
                <w:lang w:val="es-ES"/>
              </w:rPr>
              <w:t>Variable</w:t>
            </w:r>
          </w:p>
        </w:tc>
        <w:tc>
          <w:tcPr>
            <w:tcW w:w="3229" w:type="dxa"/>
            <w:vAlign w:val="center"/>
          </w:tcPr>
          <w:p w14:paraId="000E2E12" w14:textId="77777777" w:rsidR="0072097E" w:rsidRPr="000E2659" w:rsidRDefault="00000000">
            <w:pPr>
              <w:jc w:val="center"/>
              <w:rPr>
                <w:lang w:val="es-ES"/>
              </w:rPr>
            </w:pPr>
            <w:r w:rsidRPr="000E2659">
              <w:rPr>
                <w:lang w:val="es-ES"/>
              </w:rPr>
              <w:t>Fórmula de cálculo</w:t>
            </w:r>
          </w:p>
        </w:tc>
        <w:tc>
          <w:tcPr>
            <w:tcW w:w="3313" w:type="dxa"/>
            <w:vAlign w:val="center"/>
          </w:tcPr>
          <w:p w14:paraId="3B0A0DB4" w14:textId="77777777" w:rsidR="0072097E" w:rsidRPr="000E2659" w:rsidRDefault="00000000">
            <w:pPr>
              <w:jc w:val="center"/>
              <w:rPr>
                <w:lang w:val="es-ES"/>
              </w:rPr>
            </w:pPr>
            <w:r w:rsidRPr="000E2659">
              <w:rPr>
                <w:lang w:val="es-ES"/>
              </w:rPr>
              <w:t>Definiciones</w:t>
            </w:r>
          </w:p>
        </w:tc>
      </w:tr>
      <w:tr w:rsidR="0072097E" w:rsidRPr="000E2659" w14:paraId="6A145015" w14:textId="77777777" w:rsidTr="000E2659">
        <w:trPr>
          <w:trHeight w:val="20"/>
        </w:trPr>
        <w:tc>
          <w:tcPr>
            <w:tcW w:w="2295" w:type="dxa"/>
          </w:tcPr>
          <w:p w14:paraId="5BE68C89" w14:textId="77777777" w:rsidR="0072097E" w:rsidRPr="000E2659" w:rsidRDefault="00000000">
            <w:pPr>
              <w:rPr>
                <w:lang w:val="es-ES"/>
              </w:rPr>
            </w:pPr>
            <w:r w:rsidRPr="000E2659">
              <w:rPr>
                <w:lang w:val="es-ES"/>
              </w:rPr>
              <w:t>1. Base de Activos</w:t>
            </w:r>
          </w:p>
        </w:tc>
        <w:tc>
          <w:tcPr>
            <w:tcW w:w="3229" w:type="dxa"/>
          </w:tcPr>
          <w:p w14:paraId="36AA396A"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BA</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AFN</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AFN</m:t>
                    </m:r>
                  </m:e>
                  <m:sub>
                    <m:r>
                      <w:rPr>
                        <w:rFonts w:ascii="Cambria Math" w:hAnsi="Cambria Math"/>
                      </w:rPr>
                      <m:t>futurot</m:t>
                    </m:r>
                  </m:sub>
                </m:sSub>
                <m:r>
                  <w:rPr>
                    <w:rFonts w:ascii="Cambria Math" w:hAnsi="Cambria Math"/>
                  </w:rPr>
                  <m:t>+</m:t>
                </m:r>
                <m:sSub>
                  <m:sSubPr>
                    <m:ctrlPr>
                      <w:rPr>
                        <w:rFonts w:ascii="Cambria Math" w:hAnsi="Cambria Math"/>
                      </w:rPr>
                    </m:ctrlPr>
                  </m:sSubPr>
                  <m:e>
                    <m:r>
                      <w:rPr>
                        <w:rFonts w:ascii="Cambria Math" w:hAnsi="Cambria Math"/>
                      </w:rPr>
                      <m:t>CT</m:t>
                    </m:r>
                  </m:e>
                  <m:sub>
                    <m:r>
                      <w:rPr>
                        <w:rFonts w:ascii="Cambria Math" w:hAnsi="Cambria Math"/>
                      </w:rPr>
                      <m:t>t</m:t>
                    </m:r>
                  </m:sub>
                </m:sSub>
              </m:oMath>
            </m:oMathPara>
          </w:p>
        </w:tc>
        <w:tc>
          <w:tcPr>
            <w:tcW w:w="3313" w:type="dxa"/>
            <w:vMerge w:val="restart"/>
          </w:tcPr>
          <w:p w14:paraId="3B696296" w14:textId="77777777" w:rsidR="0072097E" w:rsidRPr="000E2659" w:rsidRDefault="00000000">
            <w:pPr>
              <w:jc w:val="both"/>
              <w:rPr>
                <w:lang w:val="es-ES"/>
              </w:rPr>
            </w:pPr>
            <m:oMath>
              <m:sSub>
                <m:sSubPr>
                  <m:ctrlPr>
                    <w:rPr>
                      <w:rFonts w:ascii="Cambria Math" w:hAnsi="Cambria Math"/>
                    </w:rPr>
                  </m:ctrlPr>
                </m:sSubPr>
                <m:e>
                  <m:r>
                    <w:rPr>
                      <w:rFonts w:ascii="Cambria Math" w:hAnsi="Cambria Math"/>
                    </w:rPr>
                    <m:t>BA</m:t>
                  </m:r>
                </m:e>
                <m:sub>
                  <m:r>
                    <w:rPr>
                      <w:rFonts w:ascii="Cambria Math" w:hAnsi="Cambria Math"/>
                    </w:rPr>
                    <m:t>t</m:t>
                  </m:r>
                </m:sub>
              </m:sSub>
            </m:oMath>
            <w:r w:rsidRPr="000E2659">
              <w:rPr>
                <w:lang w:val="es-ES"/>
              </w:rPr>
              <w:t xml:space="preserve"> = Base de activos del sistema de distribución en el año t.</w:t>
            </w:r>
          </w:p>
          <w:p w14:paraId="54F7EE7B" w14:textId="77777777" w:rsidR="0072097E" w:rsidRPr="000E2659" w:rsidRDefault="00000000">
            <w:pPr>
              <w:jc w:val="both"/>
              <w:rPr>
                <w:lang w:val="es-ES"/>
              </w:rPr>
            </w:pPr>
            <m:oMath>
              <m:sSub>
                <m:sSubPr>
                  <m:ctrlPr>
                    <w:rPr>
                      <w:rFonts w:ascii="Cambria Math" w:hAnsi="Cambria Math"/>
                    </w:rPr>
                  </m:ctrlPr>
                </m:sSubPr>
                <m:e>
                  <m:r>
                    <w:rPr>
                      <w:rFonts w:ascii="Cambria Math" w:hAnsi="Cambria Math"/>
                    </w:rPr>
                    <m:t>AFN</m:t>
                  </m:r>
                </m:e>
                <m:sub>
                  <m:r>
                    <w:rPr>
                      <w:rFonts w:ascii="Cambria Math" w:hAnsi="Cambria Math"/>
                    </w:rPr>
                    <m:t>t</m:t>
                  </m:r>
                </m:sub>
              </m:sSub>
            </m:oMath>
            <w:r w:rsidRPr="000E2659">
              <w:rPr>
                <w:lang w:val="es-ES"/>
              </w:rPr>
              <w:t xml:space="preserve"> = Activo fijo neto existente en el año t. </w:t>
            </w:r>
          </w:p>
          <w:p w14:paraId="4684C44B"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AFN</m:t>
                  </m:r>
                </m:e>
                <m:sub>
                  <m:r>
                    <w:rPr>
                      <w:rFonts w:ascii="Cambria Math" w:hAnsi="Cambria Math"/>
                    </w:rPr>
                    <m:t>futurot</m:t>
                  </m:r>
                </m:sub>
              </m:sSub>
              <m:r>
                <w:rPr>
                  <w:rFonts w:ascii="Cambria Math" w:hAnsi="Cambria Math"/>
                </w:rPr>
                <m:t>=</m:t>
              </m:r>
            </m:oMath>
            <w:r w:rsidRPr="000E2659">
              <w:rPr>
                <w:lang w:val="es-ES"/>
              </w:rPr>
              <w:t>Activo fijo neto futuro en el año t.</w:t>
            </w:r>
          </w:p>
          <w:p w14:paraId="6E6B4264" w14:textId="77777777" w:rsidR="0072097E" w:rsidRPr="000E2659" w:rsidRDefault="00000000">
            <w:pPr>
              <w:jc w:val="both"/>
              <w:rPr>
                <w:lang w:val="es-ES"/>
              </w:rPr>
            </w:pPr>
            <m:oMath>
              <m:sSub>
                <m:sSubPr>
                  <m:ctrlPr>
                    <w:rPr>
                      <w:rFonts w:ascii="Cambria Math" w:hAnsi="Cambria Math"/>
                    </w:rPr>
                  </m:ctrlPr>
                </m:sSubPr>
                <m:e>
                  <m:r>
                    <w:rPr>
                      <w:rFonts w:ascii="Cambria Math" w:hAnsi="Cambria Math"/>
                    </w:rPr>
                    <m:t>CT</m:t>
                  </m:r>
                </m:e>
                <m:sub>
                  <m:r>
                    <w:rPr>
                      <w:rFonts w:ascii="Cambria Math" w:hAnsi="Cambria Math"/>
                    </w:rPr>
                    <m:t>t</m:t>
                  </m:r>
                </m:sub>
              </m:sSub>
            </m:oMath>
            <w:r w:rsidRPr="000E2659">
              <w:rPr>
                <w:lang w:val="es-ES"/>
              </w:rPr>
              <w:t xml:space="preserve"> = Capital de trabajo en el año t.</w:t>
            </w:r>
          </w:p>
          <w:p w14:paraId="23DEEBAB" w14:textId="77777777" w:rsidR="0072097E" w:rsidRPr="000E2659" w:rsidRDefault="00000000">
            <w:pPr>
              <w:rPr>
                <w:lang w:val="es-ES"/>
              </w:rPr>
            </w:pPr>
            <m:oMathPara>
              <m:oMathParaPr>
                <m:jc m:val="left"/>
              </m:oMathParaPr>
              <m:oMath>
                <m:r>
                  <w:rPr>
                    <w:rFonts w:ascii="Cambria Math" w:hAnsi="Cambria Math"/>
                  </w:rPr>
                  <m:t>t=1,…,5</m:t>
                </m:r>
              </m:oMath>
            </m:oMathPara>
          </w:p>
          <w:p w14:paraId="3A03C3FB"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AFB</m:t>
                  </m:r>
                </m:e>
                <m:sub>
                  <m:r>
                    <w:rPr>
                      <w:rFonts w:ascii="Cambria Math" w:hAnsi="Cambria Math"/>
                    </w:rPr>
                    <m:t>t</m:t>
                  </m:r>
                </m:sub>
              </m:sSub>
              <m:r>
                <w:rPr>
                  <w:rFonts w:ascii="Cambria Math" w:hAnsi="Cambria Math"/>
                </w:rPr>
                <m:t>=</m:t>
              </m:r>
            </m:oMath>
            <w:r w:rsidRPr="000E2659">
              <w:rPr>
                <w:lang w:val="es-ES"/>
              </w:rPr>
              <w:t xml:space="preserve"> Activo fijo bruto en el año t, igual al activo fijo bruto del inicio del cuarto quinquenio (2,682.63 millones de pesos de 2013). El activo fijo bruto se mantiene constante a lo largo del quinquenio porque las inversiones se analizan por separado.</w:t>
            </w:r>
          </w:p>
          <w:p w14:paraId="3D824B40"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DA</m:t>
                  </m:r>
                </m:e>
                <m:sub>
                  <m:r>
                    <w:rPr>
                      <w:rFonts w:ascii="Cambria Math" w:hAnsi="Cambria Math"/>
                    </w:rPr>
                    <m:t>t</m:t>
                  </m:r>
                </m:sub>
              </m:sSub>
              <m:r>
                <w:rPr>
                  <w:rFonts w:ascii="Cambria Math" w:hAnsi="Cambria Math"/>
                </w:rPr>
                <m:t>=</m:t>
              </m:r>
            </m:oMath>
            <w:r w:rsidRPr="000E2659">
              <w:rPr>
                <w:lang w:val="es-ES"/>
              </w:rPr>
              <w:t xml:space="preserve"> Depreciación acumulada de los activos existentes al año t.</w:t>
            </w:r>
          </w:p>
          <w:p w14:paraId="4A8DB2A3"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DA</m:t>
                  </m:r>
                </m:e>
                <m:sub>
                  <m:r>
                    <w:rPr>
                      <w:rFonts w:ascii="Cambria Math" w:hAnsi="Cambria Math"/>
                    </w:rPr>
                    <m:t>inicial4Q</m:t>
                  </m:r>
                </m:sub>
              </m:sSub>
              <m:r>
                <w:rPr>
                  <w:rFonts w:ascii="Cambria Math" w:hAnsi="Cambria Math"/>
                </w:rPr>
                <m:t>=</m:t>
              </m:r>
            </m:oMath>
            <w:r w:rsidRPr="000E2659">
              <w:rPr>
                <w:lang w:val="es-ES"/>
              </w:rPr>
              <w:t xml:space="preserve"> Depreciación acumulada al inicio del cuarto quinquenio (766.27 millones de pesos de diciembre de 2013).</w:t>
            </w:r>
          </w:p>
          <w:p w14:paraId="390AEFA2" w14:textId="77777777" w:rsidR="0072097E" w:rsidRPr="000E2659" w:rsidRDefault="00000000">
            <w:pPr>
              <w:spacing w:before="120" w:after="120"/>
              <w:jc w:val="both"/>
              <w:rPr>
                <w:lang w:val="es-ES"/>
              </w:rPr>
            </w:pPr>
            <m:oMath>
              <m:r>
                <w:rPr>
                  <w:rFonts w:ascii="Cambria Math" w:hAnsi="Cambria Math"/>
                </w:rPr>
                <m:t>δ=</m:t>
              </m:r>
            </m:oMath>
            <w:r w:rsidRPr="000E2659">
              <w:rPr>
                <w:lang w:val="es-ES"/>
              </w:rPr>
              <w:t xml:space="preserve"> tasa de depreciación anual fija. Bajo el método de línea recta la tasa de depreciación es igual 1/número de años de vida útil probable. </w:t>
            </w:r>
          </w:p>
          <w:p w14:paraId="7397DA36"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AFB</m:t>
                  </m:r>
                </m:e>
                <m:sub>
                  <m:r>
                    <w:rPr>
                      <w:rFonts w:ascii="Cambria Math" w:hAnsi="Cambria Math"/>
                    </w:rPr>
                    <m:t>futurot</m:t>
                  </m:r>
                </m:sub>
              </m:sSub>
            </m:oMath>
            <w:r w:rsidRPr="000E2659">
              <w:rPr>
                <w:lang w:val="es-ES"/>
              </w:rPr>
              <w:t>= Activo fijo bruto correspondiente a las inversiones en capital del año t. Inversiones propuestas por la empresa por un monto de $3,967 millones de pesos de 2013 (Tabla 12 del Anexo de la RES/730/2015).</w:t>
            </w:r>
          </w:p>
          <w:p w14:paraId="239B4AF2"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DA</m:t>
                  </m:r>
                </m:e>
                <m:sub>
                  <m:r>
                    <w:rPr>
                      <w:rFonts w:ascii="Cambria Math" w:hAnsi="Cambria Math"/>
                    </w:rPr>
                    <m:t>futurat</m:t>
                  </m:r>
                </m:sub>
              </m:sSub>
              <m:r>
                <w:rPr>
                  <w:rFonts w:ascii="Cambria Math" w:hAnsi="Cambria Math"/>
                </w:rPr>
                <m:t>=</m:t>
              </m:r>
            </m:oMath>
            <w:r w:rsidRPr="000E2659">
              <w:rPr>
                <w:rFonts w:eastAsiaTheme="minorEastAsia"/>
                <w:lang w:val="es-ES"/>
              </w:rPr>
              <w:t>Depreciación acumulada de las inversiones en capital en el año t.</w:t>
            </w:r>
          </w:p>
          <w:p w14:paraId="1796ED2C"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CAPEX</m:t>
                  </m:r>
                </m:e>
                <m:sub>
                  <m:r>
                    <w:rPr>
                      <w:rFonts w:ascii="Cambria Math" w:hAnsi="Cambria Math"/>
                    </w:rPr>
                    <m:t>t</m:t>
                  </m:r>
                </m:sub>
              </m:sSub>
              <m:r>
                <w:rPr>
                  <w:rFonts w:ascii="Cambria Math" w:hAnsi="Cambria Math"/>
                </w:rPr>
                <m:t>=</m:t>
              </m:r>
            </m:oMath>
            <w:r w:rsidRPr="000E2659">
              <w:rPr>
                <w:rFonts w:eastAsiaTheme="minorEastAsia"/>
                <w:lang w:val="es-ES"/>
              </w:rPr>
              <w:t>Inversiones en capital en el año t.</w:t>
            </w:r>
          </w:p>
          <w:p w14:paraId="141580DC"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AFB</m:t>
                  </m:r>
                </m:e>
                <m:sub>
                  <m:r>
                    <w:rPr>
                      <w:rFonts w:ascii="Cambria Math" w:hAnsi="Cambria Math"/>
                    </w:rPr>
                    <m:t>futurot-1</m:t>
                  </m:r>
                </m:sub>
              </m:sSub>
            </m:oMath>
            <w:r w:rsidRPr="000E2659">
              <w:rPr>
                <w:lang w:val="es-ES"/>
              </w:rPr>
              <w:t>= Activo fijo bruto correspondiente a las inversiones en capital del año t-1.</w:t>
            </w:r>
          </w:p>
          <w:p w14:paraId="17FD4387"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CostosOMAV</m:t>
                  </m:r>
                </m:e>
                <m:sub>
                  <m:r>
                    <w:rPr>
                      <w:rFonts w:ascii="Cambria Math" w:hAnsi="Cambria Math"/>
                    </w:rPr>
                    <m:t>t</m:t>
                  </m:r>
                </m:sub>
              </m:sSub>
              <m:r>
                <w:rPr>
                  <w:rFonts w:ascii="Cambria Math" w:hAnsi="Cambria Math"/>
                </w:rPr>
                <m:t>=</m:t>
              </m:r>
            </m:oMath>
            <w:r w:rsidRPr="000E2659">
              <w:rPr>
                <w:lang w:val="es-ES"/>
              </w:rPr>
              <w:t>Costos de operación, mantenimiento y ventas en el año t.</w:t>
            </w:r>
          </w:p>
        </w:tc>
      </w:tr>
      <w:tr w:rsidR="0072097E" w:rsidRPr="000E2659" w14:paraId="5F20B074" w14:textId="77777777" w:rsidTr="000E2659">
        <w:trPr>
          <w:trHeight w:val="20"/>
        </w:trPr>
        <w:tc>
          <w:tcPr>
            <w:tcW w:w="2295" w:type="dxa"/>
          </w:tcPr>
          <w:p w14:paraId="28511EC1" w14:textId="77777777" w:rsidR="0072097E" w:rsidRPr="000E2659" w:rsidRDefault="00000000">
            <w:pPr>
              <w:rPr>
                <w:lang w:val="es-ES"/>
              </w:rPr>
            </w:pPr>
            <w:r w:rsidRPr="000E2659">
              <w:rPr>
                <w:lang w:val="es-ES"/>
              </w:rPr>
              <w:t>1.1 Activo Fijo Neto</w:t>
            </w:r>
          </w:p>
        </w:tc>
        <w:tc>
          <w:tcPr>
            <w:tcW w:w="3229" w:type="dxa"/>
          </w:tcPr>
          <w:p w14:paraId="4B15A5E2"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AFN</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AFB</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DA</m:t>
                    </m:r>
                  </m:e>
                  <m:sub>
                    <m:r>
                      <w:rPr>
                        <w:rFonts w:ascii="Cambria Math" w:hAnsi="Cambria Math"/>
                      </w:rPr>
                      <m:t>t</m:t>
                    </m:r>
                  </m:sub>
                </m:sSub>
              </m:oMath>
            </m:oMathPara>
          </w:p>
          <w:p w14:paraId="1889ABCA" w14:textId="77777777" w:rsidR="0072097E" w:rsidRPr="000E2659" w:rsidRDefault="0072097E">
            <w:pPr>
              <w:rPr>
                <w:lang w:val="es-ES"/>
              </w:rPr>
            </w:pPr>
          </w:p>
          <w:p w14:paraId="7490324E" w14:textId="77777777" w:rsidR="0072097E" w:rsidRPr="000E2659" w:rsidRDefault="00000000">
            <w:pPr>
              <w:rPr>
                <w:lang w:val="es-ES"/>
              </w:rPr>
            </w:pPr>
            <w:r w:rsidRPr="000E2659">
              <w:rPr>
                <w:rFonts w:eastAsiaTheme="minorEastAsia"/>
                <w:lang w:val="es-ES"/>
              </w:rPr>
              <w:t>1.1.1 Depreciación acumulada</w:t>
            </w:r>
          </w:p>
          <w:p w14:paraId="5AE6D6F1"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DA</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DA</m:t>
                    </m:r>
                  </m:e>
                  <m:sub>
                    <m:r>
                      <w:rPr>
                        <w:rFonts w:ascii="Cambria Math" w:hAnsi="Cambria Math"/>
                      </w:rPr>
                      <m:t>inicial4Q</m:t>
                    </m:r>
                  </m:sub>
                </m:sSub>
                <m:r>
                  <w:rPr>
                    <w:rFonts w:ascii="Cambria Math" w:hAnsi="Cambria Math"/>
                  </w:rPr>
                  <m:t>+</m:t>
                </m:r>
                <m:nary>
                  <m:naryPr>
                    <m:chr m:val="∑"/>
                    <m:ctrlPr>
                      <w:rPr>
                        <w:rFonts w:ascii="Cambria Math" w:hAnsi="Cambria Math"/>
                      </w:rPr>
                    </m:ctrlPr>
                  </m:naryPr>
                  <m:sub>
                    <m:r>
                      <w:rPr>
                        <w:rFonts w:ascii="Cambria Math" w:hAnsi="Cambria Math"/>
                      </w:rPr>
                      <m:t>t=1</m:t>
                    </m:r>
                  </m:sub>
                  <m:sup>
                    <m:r>
                      <w:rPr>
                        <w:rFonts w:ascii="Cambria Math" w:hAnsi="Cambria Math"/>
                      </w:rPr>
                      <m:t>5</m:t>
                    </m:r>
                  </m:sup>
                  <m:e>
                    <m:sSub>
                      <m:sSubPr>
                        <m:ctrlPr>
                          <w:rPr>
                            <w:rFonts w:ascii="Cambria Math" w:hAnsi="Cambria Math"/>
                          </w:rPr>
                        </m:ctrlPr>
                      </m:sSubPr>
                      <m:e>
                        <m:r>
                          <w:rPr>
                            <w:rFonts w:ascii="Cambria Math" w:hAnsi="Cambria Math"/>
                          </w:rPr>
                          <m:t>AFB</m:t>
                        </m:r>
                      </m:e>
                      <m:sub>
                        <m:r>
                          <w:rPr>
                            <w:rFonts w:ascii="Cambria Math" w:hAnsi="Cambria Math"/>
                          </w:rPr>
                          <m:t>t</m:t>
                        </m:r>
                      </m:sub>
                    </m:sSub>
                  </m:e>
                </m:nary>
                <m:r>
                  <w:rPr>
                    <w:rFonts w:ascii="Cambria Math" w:hAnsi="Cambria Math"/>
                  </w:rPr>
                  <m:t>*δ</m:t>
                </m:r>
              </m:oMath>
            </m:oMathPara>
          </w:p>
          <w:p w14:paraId="64D0B816" w14:textId="77777777" w:rsidR="0072097E" w:rsidRPr="000E2659" w:rsidRDefault="0072097E">
            <w:pPr>
              <w:rPr>
                <w:lang w:val="es-ES"/>
              </w:rPr>
            </w:pPr>
          </w:p>
        </w:tc>
        <w:tc>
          <w:tcPr>
            <w:tcW w:w="3313" w:type="dxa"/>
            <w:vMerge/>
          </w:tcPr>
          <w:p w14:paraId="36330A58" w14:textId="77777777" w:rsidR="0072097E" w:rsidRPr="000E2659" w:rsidRDefault="0072097E">
            <w:pPr>
              <w:spacing w:before="120" w:after="120"/>
              <w:jc w:val="both"/>
              <w:rPr>
                <w:lang w:val="es-ES"/>
              </w:rPr>
            </w:pPr>
          </w:p>
        </w:tc>
      </w:tr>
      <w:tr w:rsidR="0072097E" w:rsidRPr="000E2659" w14:paraId="1DD0A0C4" w14:textId="77777777" w:rsidTr="000E2659">
        <w:trPr>
          <w:trHeight w:val="20"/>
        </w:trPr>
        <w:tc>
          <w:tcPr>
            <w:tcW w:w="2295" w:type="dxa"/>
          </w:tcPr>
          <w:p w14:paraId="041E2DDB" w14:textId="77777777" w:rsidR="0072097E" w:rsidRPr="000E2659" w:rsidRDefault="00000000">
            <w:pPr>
              <w:rPr>
                <w:lang w:val="es-ES"/>
              </w:rPr>
            </w:pPr>
            <w:r w:rsidRPr="000E2659">
              <w:rPr>
                <w:lang w:val="es-ES"/>
              </w:rPr>
              <w:t>1.2 AFN Futuro (Inversiones netas en capital)</w:t>
            </w:r>
          </w:p>
        </w:tc>
        <w:tc>
          <w:tcPr>
            <w:tcW w:w="3229" w:type="dxa"/>
          </w:tcPr>
          <w:p w14:paraId="14D1EAA0"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AFN</m:t>
                    </m:r>
                  </m:e>
                  <m:sub>
                    <m:r>
                      <w:rPr>
                        <w:rFonts w:ascii="Cambria Math" w:hAnsi="Cambria Math"/>
                      </w:rPr>
                      <m:t>futurot</m:t>
                    </m:r>
                  </m:sub>
                </m:sSub>
                <m:r>
                  <w:rPr>
                    <w:rFonts w:ascii="Cambria Math" w:hAnsi="Cambria Math"/>
                  </w:rPr>
                  <m:t>=</m:t>
                </m:r>
                <m:sSub>
                  <m:sSubPr>
                    <m:ctrlPr>
                      <w:rPr>
                        <w:rFonts w:ascii="Cambria Math" w:hAnsi="Cambria Math"/>
                      </w:rPr>
                    </m:ctrlPr>
                  </m:sSubPr>
                  <m:e>
                    <m:r>
                      <w:rPr>
                        <w:rFonts w:ascii="Cambria Math" w:hAnsi="Cambria Math"/>
                      </w:rPr>
                      <m:t>AFB</m:t>
                    </m:r>
                  </m:e>
                  <m:sub>
                    <m:r>
                      <w:rPr>
                        <w:rFonts w:ascii="Cambria Math" w:hAnsi="Cambria Math"/>
                      </w:rPr>
                      <m:t>futurot</m:t>
                    </m:r>
                  </m:sub>
                </m:sSub>
                <m:r>
                  <w:rPr>
                    <w:rFonts w:ascii="Cambria Math" w:hAnsi="Cambria Math"/>
                  </w:rPr>
                  <m:t>-</m:t>
                </m:r>
                <m:sSub>
                  <m:sSubPr>
                    <m:ctrlPr>
                      <w:rPr>
                        <w:rFonts w:ascii="Cambria Math" w:hAnsi="Cambria Math"/>
                      </w:rPr>
                    </m:ctrlPr>
                  </m:sSubPr>
                  <m:e>
                    <m:r>
                      <w:rPr>
                        <w:rFonts w:ascii="Cambria Math" w:hAnsi="Cambria Math"/>
                      </w:rPr>
                      <m:t>DA</m:t>
                    </m:r>
                  </m:e>
                  <m:sub>
                    <m:r>
                      <w:rPr>
                        <w:rFonts w:ascii="Cambria Math" w:hAnsi="Cambria Math"/>
                      </w:rPr>
                      <m:t>futurat</m:t>
                    </m:r>
                  </m:sub>
                </m:sSub>
              </m:oMath>
            </m:oMathPara>
          </w:p>
          <w:p w14:paraId="5422BB37" w14:textId="77777777" w:rsidR="0072097E" w:rsidRPr="000E2659" w:rsidRDefault="0072097E">
            <w:pPr>
              <w:jc w:val="both"/>
              <w:rPr>
                <w:lang w:val="es-ES"/>
              </w:rPr>
            </w:pPr>
          </w:p>
          <w:p w14:paraId="53750492" w14:textId="77777777" w:rsidR="0072097E" w:rsidRPr="000E2659" w:rsidRDefault="00000000">
            <w:pPr>
              <w:rPr>
                <w:lang w:val="es-ES"/>
              </w:rPr>
            </w:pPr>
            <w:r w:rsidRPr="000E2659">
              <w:rPr>
                <w:rFonts w:eastAsiaTheme="minorEastAsia"/>
                <w:lang w:val="es-ES"/>
              </w:rPr>
              <w:t>1.2.1 Activo fijo bruto futuro</w:t>
            </w:r>
          </w:p>
          <w:p w14:paraId="4B3D3BD7" w14:textId="77777777" w:rsidR="0072097E" w:rsidRPr="000E2659" w:rsidRDefault="0072097E">
            <w:pPr>
              <w:rPr>
                <w:lang w:val="es-ES"/>
              </w:rPr>
            </w:pPr>
          </w:p>
          <w:p w14:paraId="072D890A" w14:textId="77777777" w:rsidR="0072097E" w:rsidRPr="000E2659" w:rsidRDefault="00000000">
            <w:pPr>
              <w:jc w:val="center"/>
              <w:rPr>
                <w:rFonts w:eastAsia="Calibri"/>
                <w:lang w:val="es-ES"/>
              </w:rPr>
            </w:pPr>
            <m:oMathPara>
              <m:oMathParaPr>
                <m:jc m:val="center"/>
              </m:oMathParaPr>
              <m:oMath>
                <m:sSub>
                  <m:sSubPr>
                    <m:ctrlPr>
                      <w:rPr>
                        <w:rFonts w:ascii="Cambria Math" w:hAnsi="Cambria Math"/>
                      </w:rPr>
                    </m:ctrlPr>
                  </m:sSubPr>
                  <m:e>
                    <m:r>
                      <w:rPr>
                        <w:rFonts w:ascii="Cambria Math" w:hAnsi="Cambria Math"/>
                      </w:rPr>
                      <m:t>AFB</m:t>
                    </m:r>
                  </m:e>
                  <m:sub>
                    <m:r>
                      <w:rPr>
                        <w:rFonts w:ascii="Cambria Math" w:hAnsi="Cambria Math"/>
                      </w:rPr>
                      <m:t>futurot</m:t>
                    </m:r>
                  </m:sub>
                </m:sSub>
                <m:r>
                  <w:rPr>
                    <w:rFonts w:ascii="Cambria Math" w:hAnsi="Cambria Math"/>
                  </w:rPr>
                  <m:t>=</m:t>
                </m:r>
                <m:nary>
                  <m:naryPr>
                    <m:chr m:val="∑"/>
                    <m:ctrlPr>
                      <w:rPr>
                        <w:rFonts w:ascii="Cambria Math" w:hAnsi="Cambria Math"/>
                      </w:rPr>
                    </m:ctrlPr>
                  </m:naryPr>
                  <m:sub>
                    <m:r>
                      <w:rPr>
                        <w:rFonts w:ascii="Cambria Math" w:hAnsi="Cambria Math"/>
                      </w:rPr>
                      <m:t>t=1</m:t>
                    </m:r>
                  </m:sub>
                  <m:sup>
                    <m:r>
                      <w:rPr>
                        <w:rFonts w:ascii="Cambria Math" w:hAnsi="Cambria Math"/>
                      </w:rPr>
                      <m:t>5</m:t>
                    </m:r>
                  </m:sup>
                  <m:e>
                    <m:sSub>
                      <m:sSubPr>
                        <m:ctrlPr>
                          <w:rPr>
                            <w:rFonts w:ascii="Cambria Math" w:hAnsi="Cambria Math"/>
                          </w:rPr>
                        </m:ctrlPr>
                      </m:sSubPr>
                      <m:e>
                        <m:r>
                          <w:rPr>
                            <w:rFonts w:ascii="Cambria Math" w:hAnsi="Cambria Math"/>
                          </w:rPr>
                          <m:t>CAPEX</m:t>
                        </m:r>
                      </m:e>
                      <m:sub>
                        <m:r>
                          <w:rPr>
                            <w:rFonts w:ascii="Cambria Math" w:hAnsi="Cambria Math"/>
                          </w:rPr>
                          <m:t>t</m:t>
                        </m:r>
                      </m:sub>
                    </m:sSub>
                  </m:e>
                </m:nary>
              </m:oMath>
            </m:oMathPara>
          </w:p>
          <w:p w14:paraId="78EF079E" w14:textId="77777777" w:rsidR="0072097E" w:rsidRPr="000E2659" w:rsidRDefault="00000000">
            <w:pPr>
              <w:rPr>
                <w:lang w:val="es-ES"/>
              </w:rPr>
            </w:pPr>
            <w:r w:rsidRPr="000E2659">
              <w:rPr>
                <w:rFonts w:eastAsiaTheme="minorEastAsia"/>
                <w:lang w:val="es-ES"/>
              </w:rPr>
              <w:t>1.2.2 Depreciación acumulada futura</w:t>
            </w:r>
          </w:p>
          <w:p w14:paraId="05042114" w14:textId="77777777" w:rsidR="0072097E" w:rsidRPr="000E2659" w:rsidRDefault="0072097E">
            <w:pPr>
              <w:rPr>
                <w:lang w:val="es-ES"/>
              </w:rPr>
            </w:pPr>
          </w:p>
          <w:p w14:paraId="0A75A64E" w14:textId="77777777" w:rsidR="0072097E" w:rsidRPr="000E2659" w:rsidRDefault="00000000">
            <w:pPr>
              <w:jc w:val="center"/>
              <w:rPr>
                <w:rFonts w:eastAsia="Calibri"/>
                <w:lang w:val="es-ES"/>
              </w:rPr>
            </w:pPr>
            <m:oMathPara>
              <m:oMathParaPr>
                <m:jc m:val="center"/>
              </m:oMathParaPr>
              <m:oMath>
                <m:sSub>
                  <m:sSubPr>
                    <m:ctrlPr>
                      <w:rPr>
                        <w:rFonts w:ascii="Cambria Math" w:hAnsi="Cambria Math"/>
                      </w:rPr>
                    </m:ctrlPr>
                  </m:sSubPr>
                  <m:e>
                    <m:r>
                      <w:rPr>
                        <w:rFonts w:ascii="Cambria Math" w:hAnsi="Cambria Math"/>
                      </w:rPr>
                      <m:t>DA</m:t>
                    </m:r>
                  </m:e>
                  <m:sub>
                    <m:r>
                      <w:rPr>
                        <w:rFonts w:ascii="Cambria Math" w:hAnsi="Cambria Math"/>
                      </w:rPr>
                      <m:t>futurat</m:t>
                    </m:r>
                  </m:sub>
                </m:sSub>
                <m:r>
                  <w:rPr>
                    <w:rFonts w:ascii="Cambria Math" w:hAnsi="Cambria Math"/>
                  </w:rPr>
                  <m:t>=</m:t>
                </m:r>
                <m:nary>
                  <m:naryPr>
                    <m:chr m:val="∑"/>
                    <m:ctrlPr>
                      <w:rPr>
                        <w:rFonts w:ascii="Cambria Math" w:hAnsi="Cambria Math"/>
                      </w:rPr>
                    </m:ctrlPr>
                  </m:naryPr>
                  <m:sub>
                    <m:r>
                      <w:rPr>
                        <w:rFonts w:ascii="Cambria Math" w:hAnsi="Cambria Math"/>
                      </w:rPr>
                      <m:t>t=1</m:t>
                    </m:r>
                  </m:sub>
                  <m:sup>
                    <m:r>
                      <w:rPr>
                        <w:rFonts w:ascii="Cambria Math" w:hAnsi="Cambria Math"/>
                      </w:rPr>
                      <m:t>5</m:t>
                    </m:r>
                  </m:sup>
                  <m:e>
                    <m:sSub>
                      <m:sSubPr>
                        <m:ctrlPr>
                          <w:rPr>
                            <w:rFonts w:ascii="Cambria Math" w:hAnsi="Cambria Math"/>
                          </w:rPr>
                        </m:ctrlPr>
                      </m:sSubPr>
                      <m:e>
                        <m:r>
                          <w:rPr>
                            <w:rFonts w:ascii="Cambria Math" w:hAnsi="Cambria Math"/>
                          </w:rPr>
                          <m:t>AFB</m:t>
                        </m:r>
                      </m:e>
                      <m:sub>
                        <m:r>
                          <w:rPr>
                            <w:rFonts w:ascii="Cambria Math" w:hAnsi="Cambria Math"/>
                          </w:rPr>
                          <m:t>futurot-1</m:t>
                        </m:r>
                      </m:sub>
                    </m:sSub>
                  </m:e>
                </m:nary>
                <m:r>
                  <w:rPr>
                    <w:rFonts w:ascii="Cambria Math" w:hAnsi="Cambria Math"/>
                  </w:rPr>
                  <m:t>*δ</m:t>
                </m:r>
              </m:oMath>
            </m:oMathPara>
          </w:p>
          <w:p w14:paraId="5E79ADFD" w14:textId="77777777" w:rsidR="0072097E" w:rsidRPr="000E2659" w:rsidRDefault="0072097E">
            <w:pPr>
              <w:rPr>
                <w:rFonts w:eastAsia="Calibri"/>
                <w:lang w:val="es-ES"/>
              </w:rPr>
            </w:pPr>
          </w:p>
        </w:tc>
        <w:tc>
          <w:tcPr>
            <w:tcW w:w="3313" w:type="dxa"/>
            <w:vMerge/>
          </w:tcPr>
          <w:p w14:paraId="7D14B0D4" w14:textId="77777777" w:rsidR="0072097E" w:rsidRPr="000E2659" w:rsidRDefault="0072097E">
            <w:pPr>
              <w:spacing w:before="120" w:after="120"/>
              <w:jc w:val="both"/>
              <w:rPr>
                <w:rFonts w:eastAsia="Calibri"/>
                <w:lang w:val="es-ES"/>
              </w:rPr>
            </w:pPr>
          </w:p>
        </w:tc>
      </w:tr>
      <w:tr w:rsidR="0072097E" w:rsidRPr="000E2659" w14:paraId="68B4BE16" w14:textId="77777777" w:rsidTr="000E2659">
        <w:trPr>
          <w:trHeight w:val="20"/>
        </w:trPr>
        <w:tc>
          <w:tcPr>
            <w:tcW w:w="2295" w:type="dxa"/>
          </w:tcPr>
          <w:p w14:paraId="67B43A78" w14:textId="77777777" w:rsidR="0072097E" w:rsidRPr="000E2659" w:rsidRDefault="00000000">
            <w:pPr>
              <w:rPr>
                <w:lang w:val="es-ES"/>
              </w:rPr>
            </w:pPr>
            <w:r w:rsidRPr="000E2659">
              <w:rPr>
                <w:lang w:val="es-ES"/>
              </w:rPr>
              <w:t>1.3 Capital de Trabajo</w:t>
            </w:r>
          </w:p>
        </w:tc>
        <w:tc>
          <w:tcPr>
            <w:tcW w:w="3229" w:type="dxa"/>
          </w:tcPr>
          <w:p w14:paraId="08340170" w14:textId="77777777" w:rsidR="0072097E" w:rsidRPr="000E2659" w:rsidRDefault="00000000">
            <w:pPr>
              <w:rPr>
                <w:rFonts w:eastAsia="Calibri"/>
                <w:lang w:val="es-ES"/>
              </w:rPr>
            </w:pPr>
            <m:oMathPara>
              <m:oMathParaPr>
                <m:jc m:val="left"/>
              </m:oMathParaPr>
              <m:oMath>
                <m:sSub>
                  <m:sSubPr>
                    <m:ctrlPr>
                      <w:rPr>
                        <w:rFonts w:ascii="Cambria Math" w:hAnsi="Cambria Math"/>
                      </w:rPr>
                    </m:ctrlPr>
                  </m:sSubPr>
                  <m:e>
                    <m:r>
                      <w:rPr>
                        <w:rFonts w:ascii="Cambria Math" w:hAnsi="Cambria Math"/>
                      </w:rPr>
                      <m:t>CT</m:t>
                    </m:r>
                  </m:e>
                  <m:sub>
                    <m:r>
                      <w:rPr>
                        <w:rFonts w:ascii="Cambria Math" w:hAnsi="Cambria Math"/>
                      </w:rPr>
                      <m:t>t</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sSub>
                  <m:sSubPr>
                    <m:ctrlPr>
                      <w:rPr>
                        <w:rFonts w:ascii="Cambria Math" w:hAnsi="Cambria Math"/>
                      </w:rPr>
                    </m:ctrlPr>
                  </m:sSubPr>
                  <m:e>
                    <m:r>
                      <w:rPr>
                        <w:rFonts w:ascii="Cambria Math" w:hAnsi="Cambria Math"/>
                      </w:rPr>
                      <m:t>CostosOMAV</m:t>
                    </m:r>
                  </m:e>
                  <m:sub>
                    <m:r>
                      <w:rPr>
                        <w:rFonts w:ascii="Cambria Math" w:hAnsi="Cambria Math"/>
                      </w:rPr>
                      <m:t>t</m:t>
                    </m:r>
                  </m:sub>
                </m:sSub>
              </m:oMath>
            </m:oMathPara>
          </w:p>
        </w:tc>
        <w:tc>
          <w:tcPr>
            <w:tcW w:w="3313" w:type="dxa"/>
            <w:vMerge/>
          </w:tcPr>
          <w:p w14:paraId="4E27D21F" w14:textId="77777777" w:rsidR="0072097E" w:rsidRPr="000E2659" w:rsidRDefault="0072097E">
            <w:pPr>
              <w:spacing w:before="120" w:after="120"/>
              <w:jc w:val="both"/>
              <w:rPr>
                <w:rFonts w:eastAsia="Calibri"/>
                <w:lang w:val="es-ES"/>
              </w:rPr>
            </w:pPr>
          </w:p>
        </w:tc>
      </w:tr>
    </w:tbl>
    <w:p w14:paraId="3E35D65C" w14:textId="44B74040" w:rsidR="0072097E" w:rsidRPr="000E2659" w:rsidRDefault="00000000" w:rsidP="000E2659">
      <w:pPr>
        <w:spacing w:after="120"/>
        <w:jc w:val="center"/>
      </w:pPr>
      <w:r w:rsidRPr="000E2659">
        <w:t>Fuente: Elaboración propia</w:t>
      </w:r>
    </w:p>
    <w:p w14:paraId="326D6B74" w14:textId="7C5F3875" w:rsidR="0072097E" w:rsidRDefault="00000000" w:rsidP="000E2659">
      <w:pPr>
        <w:spacing w:line="360" w:lineRule="auto"/>
        <w:jc w:val="both"/>
      </w:pPr>
      <w:r>
        <w:tab/>
        <w:t>Dentro de los cálculos de la base de activos están involucrados dos supuestos, el primero consistió en establecer 17 años de vida útil promedio para todos los activos del sistema de distribución, debido a que ha estado en expansión continúa y dado que la vida útil de los ductos en promedio es de 30 años. El segundo supuesto es que la CRE le autorizó a la empresa el 100% de su programa de inversiones propuesto, lo cual es razonable porque la CRE incrementó las propuestas de número de usuarios y energía de la empresa, en 7.6% y 37.7% respectivamente.</w:t>
      </w:r>
    </w:p>
    <w:p w14:paraId="2AC0076D" w14:textId="77777777" w:rsidR="0072097E" w:rsidRDefault="00000000" w:rsidP="000E2659">
      <w:pPr>
        <w:spacing w:line="360" w:lineRule="auto"/>
        <w:jc w:val="both"/>
        <w:rPr>
          <w:lang w:val="es-ES"/>
        </w:rPr>
      </w:pPr>
      <w:r>
        <w:rPr>
          <w:lang w:val="es-ES"/>
        </w:rPr>
        <w:tab/>
        <w:t>Una vez que se obtiene la base de activos es posible determinar el RI con base en la secuencia mostrada en el Tabla 7 siguiente.</w:t>
      </w:r>
    </w:p>
    <w:p w14:paraId="281A6F2B" w14:textId="77777777" w:rsidR="000E2659" w:rsidRDefault="000E2659" w:rsidP="000E2659">
      <w:pPr>
        <w:spacing w:line="360" w:lineRule="auto"/>
        <w:jc w:val="both"/>
        <w:rPr>
          <w:lang w:val="es-ES"/>
        </w:rPr>
      </w:pPr>
    </w:p>
    <w:p w14:paraId="461D2383" w14:textId="77777777" w:rsidR="00B71F87" w:rsidRDefault="00B71F87" w:rsidP="000E2659">
      <w:pPr>
        <w:spacing w:line="360" w:lineRule="auto"/>
        <w:jc w:val="both"/>
        <w:rPr>
          <w:lang w:val="es-ES"/>
        </w:rPr>
      </w:pPr>
    </w:p>
    <w:p w14:paraId="7692A43B" w14:textId="77777777" w:rsidR="00B71F87" w:rsidRDefault="00B71F87" w:rsidP="000E2659">
      <w:pPr>
        <w:spacing w:line="360" w:lineRule="auto"/>
        <w:jc w:val="both"/>
        <w:rPr>
          <w:lang w:val="es-ES"/>
        </w:rPr>
      </w:pPr>
    </w:p>
    <w:p w14:paraId="677D263D" w14:textId="77777777" w:rsidR="00B71F87" w:rsidRDefault="00B71F87" w:rsidP="000E2659">
      <w:pPr>
        <w:spacing w:line="360" w:lineRule="auto"/>
        <w:jc w:val="both"/>
        <w:rPr>
          <w:lang w:val="es-ES"/>
        </w:rPr>
      </w:pPr>
    </w:p>
    <w:p w14:paraId="3653EA92" w14:textId="77777777" w:rsidR="00B71F87" w:rsidRDefault="00B71F87" w:rsidP="000E2659">
      <w:pPr>
        <w:spacing w:line="360" w:lineRule="auto"/>
        <w:jc w:val="both"/>
        <w:rPr>
          <w:lang w:val="es-ES"/>
        </w:rPr>
      </w:pPr>
    </w:p>
    <w:p w14:paraId="4CA8BC77" w14:textId="77777777" w:rsidR="00B71F87" w:rsidRDefault="00B71F87" w:rsidP="000E2659">
      <w:pPr>
        <w:spacing w:line="360" w:lineRule="auto"/>
        <w:jc w:val="both"/>
        <w:rPr>
          <w:lang w:val="es-ES"/>
        </w:rPr>
      </w:pPr>
    </w:p>
    <w:p w14:paraId="0CEF16C3" w14:textId="77777777" w:rsidR="00B71F87" w:rsidRDefault="00B71F87" w:rsidP="000E2659">
      <w:pPr>
        <w:spacing w:line="360" w:lineRule="auto"/>
        <w:jc w:val="both"/>
        <w:rPr>
          <w:lang w:val="es-ES"/>
        </w:rPr>
      </w:pPr>
    </w:p>
    <w:p w14:paraId="495D2DF0" w14:textId="77777777" w:rsidR="00B71F87" w:rsidRDefault="00B71F87" w:rsidP="000E2659">
      <w:pPr>
        <w:spacing w:line="360" w:lineRule="auto"/>
        <w:jc w:val="both"/>
        <w:rPr>
          <w:lang w:val="es-ES"/>
        </w:rPr>
      </w:pPr>
    </w:p>
    <w:p w14:paraId="31B2A5E8" w14:textId="77777777" w:rsidR="00B71F87" w:rsidRDefault="00B71F87" w:rsidP="000E2659">
      <w:pPr>
        <w:spacing w:line="360" w:lineRule="auto"/>
        <w:jc w:val="both"/>
        <w:rPr>
          <w:lang w:val="es-ES"/>
        </w:rPr>
      </w:pPr>
    </w:p>
    <w:p w14:paraId="0F42BCD2" w14:textId="77777777" w:rsidR="00B71F87" w:rsidRDefault="00B71F87" w:rsidP="000E2659">
      <w:pPr>
        <w:spacing w:line="360" w:lineRule="auto"/>
        <w:jc w:val="both"/>
        <w:rPr>
          <w:lang w:val="es-ES"/>
        </w:rPr>
      </w:pPr>
    </w:p>
    <w:p w14:paraId="0AE6819B" w14:textId="77777777" w:rsidR="00B71F87" w:rsidRDefault="00B71F87" w:rsidP="000E2659">
      <w:pPr>
        <w:spacing w:line="360" w:lineRule="auto"/>
        <w:jc w:val="both"/>
        <w:rPr>
          <w:lang w:val="es-ES"/>
        </w:rPr>
      </w:pPr>
    </w:p>
    <w:p w14:paraId="47D2105D" w14:textId="77777777" w:rsidR="00B71F87" w:rsidRDefault="00B71F87" w:rsidP="000E2659">
      <w:pPr>
        <w:spacing w:line="360" w:lineRule="auto"/>
        <w:jc w:val="both"/>
        <w:rPr>
          <w:lang w:val="es-ES"/>
        </w:rPr>
      </w:pPr>
    </w:p>
    <w:p w14:paraId="57C4DD2D" w14:textId="77777777" w:rsidR="00B71F87" w:rsidRDefault="00B71F87" w:rsidP="000E2659">
      <w:pPr>
        <w:spacing w:line="360" w:lineRule="auto"/>
        <w:jc w:val="both"/>
        <w:rPr>
          <w:lang w:val="es-ES"/>
        </w:rPr>
      </w:pPr>
    </w:p>
    <w:p w14:paraId="7D600166" w14:textId="77777777" w:rsidR="00B71F87" w:rsidRDefault="00B71F87" w:rsidP="000E2659">
      <w:pPr>
        <w:spacing w:line="360" w:lineRule="auto"/>
        <w:jc w:val="both"/>
        <w:rPr>
          <w:lang w:val="es-ES"/>
        </w:rPr>
      </w:pPr>
    </w:p>
    <w:p w14:paraId="37ACFF96" w14:textId="77777777" w:rsidR="00B71F87" w:rsidRDefault="00B71F87" w:rsidP="000E2659">
      <w:pPr>
        <w:spacing w:line="360" w:lineRule="auto"/>
        <w:jc w:val="both"/>
        <w:rPr>
          <w:lang w:val="es-ES"/>
        </w:rPr>
      </w:pPr>
    </w:p>
    <w:p w14:paraId="4F9188F2" w14:textId="77777777" w:rsidR="00B71F87" w:rsidRDefault="00B71F87" w:rsidP="000E2659">
      <w:pPr>
        <w:spacing w:line="360" w:lineRule="auto"/>
        <w:jc w:val="both"/>
        <w:rPr>
          <w:lang w:val="es-ES"/>
        </w:rPr>
      </w:pPr>
    </w:p>
    <w:p w14:paraId="23E9A29D" w14:textId="77777777" w:rsidR="0072097E" w:rsidRDefault="00000000" w:rsidP="000E2659">
      <w:pPr>
        <w:spacing w:line="360" w:lineRule="auto"/>
        <w:jc w:val="center"/>
        <w:rPr>
          <w:b/>
          <w:bCs/>
          <w:lang w:val="es-ES"/>
        </w:rPr>
      </w:pPr>
      <w:r>
        <w:rPr>
          <w:b/>
          <w:bCs/>
          <w:lang w:val="es-ES"/>
        </w:rPr>
        <w:lastRenderedPageBreak/>
        <w:t xml:space="preserve">Tabla 7. </w:t>
      </w:r>
      <w:r>
        <w:rPr>
          <w:lang w:val="es-ES"/>
        </w:rPr>
        <w:t>Secuencia para el cálculo del requerimiento de ingresos</w:t>
      </w:r>
    </w:p>
    <w:tbl>
      <w:tblPr>
        <w:tblStyle w:val="Tablaconcuadrcula"/>
        <w:tblW w:w="8828" w:type="dxa"/>
        <w:tblLayout w:type="fixed"/>
        <w:tblLook w:val="04A0" w:firstRow="1" w:lastRow="0" w:firstColumn="1" w:lastColumn="0" w:noHBand="0" w:noVBand="1"/>
      </w:tblPr>
      <w:tblGrid>
        <w:gridCol w:w="1695"/>
        <w:gridCol w:w="3549"/>
        <w:gridCol w:w="3584"/>
      </w:tblGrid>
      <w:tr w:rsidR="0072097E" w:rsidRPr="000E2659" w14:paraId="465D0CCB" w14:textId="77777777" w:rsidTr="000E2659">
        <w:trPr>
          <w:trHeight w:val="164"/>
        </w:trPr>
        <w:tc>
          <w:tcPr>
            <w:tcW w:w="1695" w:type="dxa"/>
          </w:tcPr>
          <w:p w14:paraId="5510157C" w14:textId="77777777" w:rsidR="0072097E" w:rsidRPr="000E2659" w:rsidRDefault="00000000">
            <w:pPr>
              <w:pStyle w:val="Prrafodelista"/>
              <w:spacing w:line="240" w:lineRule="auto"/>
              <w:ind w:left="360"/>
              <w:jc w:val="center"/>
              <w:rPr>
                <w:rFonts w:ascii="Times New Roman" w:hAnsi="Times New Roman" w:cs="Times New Roman"/>
                <w:sz w:val="24"/>
                <w:szCs w:val="24"/>
                <w:lang w:val="es-ES"/>
              </w:rPr>
            </w:pPr>
            <w:r w:rsidRPr="000E2659">
              <w:rPr>
                <w:rFonts w:ascii="Times New Roman" w:hAnsi="Times New Roman" w:cs="Times New Roman"/>
                <w:sz w:val="24"/>
                <w:szCs w:val="24"/>
                <w:lang w:val="es-ES"/>
              </w:rPr>
              <w:t>Variable</w:t>
            </w:r>
          </w:p>
        </w:tc>
        <w:tc>
          <w:tcPr>
            <w:tcW w:w="3549" w:type="dxa"/>
          </w:tcPr>
          <w:p w14:paraId="65151594" w14:textId="77777777" w:rsidR="0072097E" w:rsidRPr="000E2659" w:rsidRDefault="00000000">
            <w:pPr>
              <w:jc w:val="center"/>
              <w:rPr>
                <w:lang w:val="es-ES"/>
              </w:rPr>
            </w:pPr>
            <w:r w:rsidRPr="000E2659">
              <w:rPr>
                <w:lang w:val="es-ES"/>
              </w:rPr>
              <w:t>Fórmula de cálculo</w:t>
            </w:r>
          </w:p>
        </w:tc>
        <w:tc>
          <w:tcPr>
            <w:tcW w:w="3584" w:type="dxa"/>
          </w:tcPr>
          <w:p w14:paraId="74E9BF4E" w14:textId="77777777" w:rsidR="0072097E" w:rsidRPr="000E2659" w:rsidRDefault="00000000">
            <w:pPr>
              <w:jc w:val="center"/>
              <w:rPr>
                <w:lang w:val="es-ES"/>
              </w:rPr>
            </w:pPr>
            <w:r w:rsidRPr="000E2659">
              <w:rPr>
                <w:lang w:val="es-ES"/>
              </w:rPr>
              <w:t>Definiciones</w:t>
            </w:r>
          </w:p>
        </w:tc>
      </w:tr>
      <w:tr w:rsidR="0072097E" w:rsidRPr="000E2659" w14:paraId="5BF1B846" w14:textId="77777777" w:rsidTr="000E2659">
        <w:trPr>
          <w:trHeight w:val="1911"/>
        </w:trPr>
        <w:tc>
          <w:tcPr>
            <w:tcW w:w="1695" w:type="dxa"/>
          </w:tcPr>
          <w:p w14:paraId="7AC0B284" w14:textId="77777777" w:rsidR="0072097E" w:rsidRPr="000E2659" w:rsidRDefault="00000000">
            <w:pPr>
              <w:rPr>
                <w:lang w:val="es-ES"/>
              </w:rPr>
            </w:pPr>
            <w:r w:rsidRPr="000E2659">
              <w:rPr>
                <w:lang w:val="es-ES"/>
              </w:rPr>
              <w:t>1. Rentabilidad</w:t>
            </w:r>
          </w:p>
        </w:tc>
        <w:tc>
          <w:tcPr>
            <w:tcW w:w="3549" w:type="dxa"/>
          </w:tcPr>
          <w:p w14:paraId="4D8D6BF0"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BA</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oMath>
            </m:oMathPara>
          </w:p>
        </w:tc>
        <w:tc>
          <w:tcPr>
            <w:tcW w:w="3584" w:type="dxa"/>
            <w:vMerge w:val="restart"/>
          </w:tcPr>
          <w:p w14:paraId="4572A4F0" w14:textId="77777777" w:rsidR="0072097E" w:rsidRPr="000E2659" w:rsidRDefault="00000000">
            <w:pPr>
              <w:jc w:val="both"/>
              <w:rPr>
                <w:lang w:val="es-ES"/>
              </w:rPr>
            </w:pPr>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oMath>
            <w:r w:rsidRPr="000E2659">
              <w:rPr>
                <w:lang w:val="es-ES"/>
              </w:rPr>
              <w:t xml:space="preserve">Rentabilidad del sistema de distribución en el año t. </w:t>
            </w:r>
          </w:p>
          <w:p w14:paraId="5A2E615B" w14:textId="77777777" w:rsidR="0072097E" w:rsidRPr="000E2659" w:rsidRDefault="00000000">
            <w:pPr>
              <w:jc w:val="both"/>
              <w:rPr>
                <w:lang w:val="es-ES"/>
              </w:rPr>
            </w:pPr>
            <m:oMath>
              <m:sSub>
                <m:sSubPr>
                  <m:ctrlPr>
                    <w:rPr>
                      <w:rFonts w:ascii="Cambria Math" w:hAnsi="Cambria Math"/>
                    </w:rPr>
                  </m:ctrlPr>
                </m:sSubPr>
                <m:e>
                  <m:r>
                    <w:rPr>
                      <w:rFonts w:ascii="Cambria Math" w:hAnsi="Cambria Math"/>
                    </w:rPr>
                    <m:t>BA</m:t>
                  </m:r>
                </m:e>
                <m:sub>
                  <m:r>
                    <w:rPr>
                      <w:rFonts w:ascii="Cambria Math" w:hAnsi="Cambria Math"/>
                    </w:rPr>
                    <m:t>t</m:t>
                  </m:r>
                </m:sub>
              </m:sSub>
            </m:oMath>
            <w:r w:rsidRPr="000E2659">
              <w:rPr>
                <w:lang w:val="es-ES"/>
              </w:rPr>
              <w:t xml:space="preserve"> = Base de activos del sistema de distribución en el año t.</w:t>
            </w:r>
          </w:p>
          <w:p w14:paraId="4059B58D"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m:t>
              </m:r>
            </m:oMath>
            <w:r w:rsidRPr="000E2659">
              <w:rPr>
                <w:lang w:val="es-ES"/>
              </w:rPr>
              <w:t>Costo del capital en el año t. Se determinó con base en la metodología por la CRE considerando 100% de capital propio.</w:t>
            </w:r>
          </w:p>
          <w:p w14:paraId="4C96C5BA" w14:textId="77777777" w:rsidR="0072097E" w:rsidRPr="000E2659" w:rsidRDefault="00000000">
            <w:pPr>
              <w:rPr>
                <w:lang w:val="es-ES"/>
              </w:rPr>
            </w:pPr>
            <m:oMathPara>
              <m:oMathParaPr>
                <m:jc m:val="left"/>
              </m:oMathParaPr>
              <m:oMath>
                <m:r>
                  <w:rPr>
                    <w:rFonts w:ascii="Cambria Math" w:hAnsi="Cambria Math"/>
                  </w:rPr>
                  <m:t>t=1,…,5</m:t>
                </m:r>
              </m:oMath>
            </m:oMathPara>
          </w:p>
          <w:p w14:paraId="4F2C52CD"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D</m:t>
                  </m:r>
                </m:e>
                <m:sub>
                  <m:r>
                    <w:rPr>
                      <w:rFonts w:ascii="Cambria Math" w:hAnsi="Cambria Math"/>
                    </w:rPr>
                    <m:t>t</m:t>
                  </m:r>
                </m:sub>
              </m:sSub>
              <m:r>
                <w:rPr>
                  <w:rFonts w:ascii="Cambria Math" w:hAnsi="Cambria Math"/>
                </w:rPr>
                <m:t>=</m:t>
              </m:r>
            </m:oMath>
            <w:r w:rsidRPr="000E2659">
              <w:rPr>
                <w:lang w:val="es-ES"/>
              </w:rPr>
              <w:t>Depreciación anual del sistema de distribución en el año t.</w:t>
            </w:r>
          </w:p>
          <w:p w14:paraId="72716154"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D</m:t>
                  </m:r>
                </m:e>
                <m:sub>
                  <m:r>
                    <w:rPr>
                      <w:rFonts w:ascii="Cambria Math" w:hAnsi="Cambria Math"/>
                    </w:rPr>
                    <m:t>existentest</m:t>
                  </m:r>
                </m:sub>
              </m:sSub>
              <m:r>
                <w:rPr>
                  <w:rFonts w:ascii="Cambria Math" w:hAnsi="Cambria Math"/>
                </w:rPr>
                <m:t>=</m:t>
              </m:r>
            </m:oMath>
            <w:r w:rsidRPr="000E2659">
              <w:rPr>
                <w:lang w:val="es-ES"/>
              </w:rPr>
              <w:t>Depreciación anual de los activos existentes en el año t.</w:t>
            </w:r>
          </w:p>
          <w:p w14:paraId="02AFD213"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D</m:t>
                  </m:r>
                </m:e>
                <m:sub>
                  <m:r>
                    <w:rPr>
                      <w:rFonts w:ascii="Cambria Math" w:hAnsi="Cambria Math"/>
                    </w:rPr>
                    <m:t>futurat</m:t>
                  </m:r>
                </m:sub>
              </m:sSub>
            </m:oMath>
            <w:r w:rsidRPr="000E2659">
              <w:rPr>
                <w:lang w:val="es-ES"/>
              </w:rPr>
              <w:t>=Depreciación anual de las inversiones en capital en el año t.</w:t>
            </w:r>
          </w:p>
          <w:p w14:paraId="2E1ACE70"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AFB</m:t>
                  </m:r>
                </m:e>
                <m:sub>
                  <m:r>
                    <w:rPr>
                      <w:rFonts w:ascii="Cambria Math" w:hAnsi="Cambria Math"/>
                    </w:rPr>
                    <m:t>t</m:t>
                  </m:r>
                </m:sub>
              </m:sSub>
              <m:r>
                <w:rPr>
                  <w:rFonts w:ascii="Cambria Math" w:hAnsi="Cambria Math"/>
                </w:rPr>
                <m:t>=</m:t>
              </m:r>
            </m:oMath>
            <w:r w:rsidRPr="000E2659">
              <w:rPr>
                <w:lang w:val="es-ES"/>
              </w:rPr>
              <w:t>Activo fijo bruto en el año t.</w:t>
            </w:r>
          </w:p>
          <w:p w14:paraId="556E669F" w14:textId="77777777" w:rsidR="0072097E" w:rsidRPr="000E2659" w:rsidRDefault="00000000">
            <w:pPr>
              <w:spacing w:before="120" w:after="120"/>
              <w:jc w:val="both"/>
              <w:rPr>
                <w:lang w:val="es-ES"/>
              </w:rPr>
            </w:pPr>
            <m:oMath>
              <m:r>
                <w:rPr>
                  <w:rFonts w:ascii="Cambria Math" w:hAnsi="Cambria Math"/>
                </w:rPr>
                <m:t>δ=</m:t>
              </m:r>
            </m:oMath>
            <w:r w:rsidRPr="000E2659">
              <w:rPr>
                <w:lang w:val="es-ES"/>
              </w:rPr>
              <w:t xml:space="preserve"> tasa de depreciación anual fija, igual a 1/17.</w:t>
            </w:r>
          </w:p>
          <w:p w14:paraId="0763BAA1"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AFB</m:t>
                  </m:r>
                </m:e>
                <m:sub>
                  <m:r>
                    <w:rPr>
                      <w:rFonts w:ascii="Cambria Math" w:hAnsi="Cambria Math"/>
                    </w:rPr>
                    <m:t>futurot</m:t>
                  </m:r>
                </m:sub>
              </m:sSub>
            </m:oMath>
            <w:r w:rsidRPr="000E2659">
              <w:rPr>
                <w:lang w:val="es-ES"/>
              </w:rPr>
              <w:t>= Activo fijo bruto correspondiente a las inversiones en capital del año t. Tabla 12 del Anexo de la RES/730/2015.</w:t>
            </w:r>
          </w:p>
          <w:p w14:paraId="17FB764D"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OMAV</m:t>
                  </m:r>
                </m:e>
                <m:sub>
                  <m:r>
                    <w:rPr>
                      <w:rFonts w:ascii="Cambria Math" w:hAnsi="Cambria Math"/>
                    </w:rPr>
                    <m:t>t</m:t>
                  </m:r>
                </m:sub>
              </m:sSub>
              <m:r>
                <w:rPr>
                  <w:rFonts w:ascii="Cambria Math" w:hAnsi="Cambria Math"/>
                </w:rPr>
                <m:t>=</m:t>
              </m:r>
            </m:oMath>
            <w:r w:rsidRPr="000E2659">
              <w:rPr>
                <w:lang w:val="es-ES"/>
              </w:rPr>
              <w:t>Costos de operación, mantenimiento y ventas calculados para el año t.</w:t>
            </w:r>
          </w:p>
          <w:p w14:paraId="24F62A36"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OMAV</m:t>
                  </m:r>
                </m:e>
                <m:sub>
                  <m:r>
                    <w:rPr>
                      <w:rFonts w:ascii="Cambria Math" w:hAnsi="Cambria Math"/>
                    </w:rPr>
                    <m:t>Empresat</m:t>
                  </m:r>
                </m:sub>
              </m:sSub>
              <m:r>
                <w:rPr>
                  <w:rFonts w:ascii="Cambria Math" w:hAnsi="Cambria Math"/>
                </w:rPr>
                <m:t>=</m:t>
              </m:r>
            </m:oMath>
            <w:r w:rsidRPr="000E2659">
              <w:rPr>
                <w:lang w:val="es-ES"/>
              </w:rPr>
              <w:t>Costos de operación, mantenimiento y ventas propuestos por la empresa para el año t. Tabla 15 del Anexo de la RES/730/2015.</w:t>
            </w:r>
          </w:p>
          <w:p w14:paraId="12BE22FA" w14:textId="77777777" w:rsidR="0072097E" w:rsidRPr="000E2659" w:rsidRDefault="00000000">
            <w:pPr>
              <w:spacing w:before="120" w:after="120"/>
              <w:jc w:val="both"/>
              <w:rPr>
                <w:lang w:val="es-ES"/>
              </w:rPr>
            </w:pPr>
            <m:oMath>
              <m:r>
                <m:rPr>
                  <m:lit/>
                  <m:nor/>
                </m:rPr>
                <m:t>%</m:t>
              </m:r>
              <m:r>
                <w:rPr>
                  <w:rFonts w:ascii="Cambria Math" w:hAnsi="Cambria Math"/>
                </w:rPr>
                <m:t>AutorizadoCRE=</m:t>
              </m:r>
            </m:oMath>
            <w:r w:rsidRPr="000E2659">
              <w:rPr>
                <w:lang w:val="es-ES"/>
              </w:rPr>
              <w:t xml:space="preserve"> Porcentaje autorizado por la CRE de los costos OMAV propuestos por la empresa, determinado mediante un </w:t>
            </w:r>
            <w:proofErr w:type="spellStart"/>
            <w:r w:rsidRPr="000E2659">
              <w:rPr>
                <w:i/>
                <w:iCs/>
                <w:lang w:val="es-ES"/>
              </w:rPr>
              <w:t>Solver</w:t>
            </w:r>
            <w:proofErr w:type="spellEnd"/>
            <w:r w:rsidRPr="000E2659">
              <w:rPr>
                <w:i/>
                <w:iCs/>
                <w:lang w:val="es-ES"/>
              </w:rPr>
              <w:t>.</w:t>
            </w:r>
          </w:p>
          <w:p w14:paraId="23507DA1" w14:textId="77777777" w:rsidR="0072097E" w:rsidRPr="000E2659" w:rsidRDefault="00000000">
            <w:pPr>
              <w:spacing w:before="120" w:after="120"/>
              <w:jc w:val="both"/>
              <w:rPr>
                <w:lang w:val="es-ES"/>
              </w:rPr>
            </w:pPr>
            <m:oMath>
              <m:sSub>
                <m:sSubPr>
                  <m:ctrlPr>
                    <w:rPr>
                      <w:rFonts w:ascii="Cambria Math" w:hAnsi="Cambria Math"/>
                    </w:rPr>
                  </m:ctrlPr>
                </m:sSubPr>
                <m:e>
                  <m:r>
                    <w:rPr>
                      <w:rFonts w:ascii="Cambria Math" w:hAnsi="Cambria Math"/>
                    </w:rPr>
                    <m:t>Impuestos</m:t>
                  </m:r>
                </m:e>
                <m:sub>
                  <m:r>
                    <w:rPr>
                      <w:rFonts w:ascii="Cambria Math" w:hAnsi="Cambria Math"/>
                    </w:rPr>
                    <m:t>t</m:t>
                  </m:r>
                </m:sub>
              </m:sSub>
              <m:r>
                <w:rPr>
                  <w:rFonts w:ascii="Cambria Math" w:hAnsi="Cambria Math"/>
                </w:rPr>
                <m:t>=</m:t>
              </m:r>
            </m:oMath>
            <w:r w:rsidRPr="000E2659">
              <w:rPr>
                <w:lang w:val="es-ES"/>
              </w:rPr>
              <w:t>Impuestos pagados por concepto de impuesto sobre la renta en el año t.</w:t>
            </w:r>
          </w:p>
          <w:p w14:paraId="61F054CA" w14:textId="77777777" w:rsidR="0072097E" w:rsidRPr="000E2659" w:rsidRDefault="00000000">
            <w:pPr>
              <w:spacing w:before="120" w:after="120"/>
              <w:jc w:val="both"/>
              <w:rPr>
                <w:lang w:val="es-ES"/>
              </w:rPr>
            </w:pPr>
            <m:oMath>
              <m:r>
                <w:rPr>
                  <w:rFonts w:ascii="Cambria Math" w:hAnsi="Cambria Math"/>
                </w:rPr>
                <w:lastRenderedPageBreak/>
                <m:t>ISR=</m:t>
              </m:r>
            </m:oMath>
            <w:r w:rsidRPr="000E2659">
              <w:rPr>
                <w:lang w:val="es-ES"/>
              </w:rPr>
              <w:t>Tasa del impuesto sobre la renta, se consideró la tasa vigente de 30%.</w:t>
            </w:r>
          </w:p>
        </w:tc>
      </w:tr>
      <w:tr w:rsidR="0072097E" w:rsidRPr="000E2659" w14:paraId="26F525D9" w14:textId="77777777" w:rsidTr="000E2659">
        <w:trPr>
          <w:trHeight w:val="1912"/>
        </w:trPr>
        <w:tc>
          <w:tcPr>
            <w:tcW w:w="1695" w:type="dxa"/>
          </w:tcPr>
          <w:p w14:paraId="63374F09" w14:textId="77777777" w:rsidR="0072097E" w:rsidRPr="000E2659" w:rsidRDefault="00000000">
            <w:pPr>
              <w:rPr>
                <w:lang w:val="es-ES"/>
              </w:rPr>
            </w:pPr>
            <w:r w:rsidRPr="000E2659">
              <w:rPr>
                <w:lang w:val="es-ES"/>
              </w:rPr>
              <w:t>2. Depreciación</w:t>
            </w:r>
          </w:p>
        </w:tc>
        <w:tc>
          <w:tcPr>
            <w:tcW w:w="3549" w:type="dxa"/>
          </w:tcPr>
          <w:p w14:paraId="5BE004E7"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existentet</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futurat</m:t>
                    </m:r>
                  </m:sub>
                </m:sSub>
              </m:oMath>
            </m:oMathPara>
          </w:p>
          <w:p w14:paraId="3C28FCB1" w14:textId="77777777" w:rsidR="0072097E" w:rsidRPr="000E2659" w:rsidRDefault="0072097E">
            <w:pPr>
              <w:rPr>
                <w:lang w:val="es-ES"/>
              </w:rPr>
            </w:pPr>
          </w:p>
          <w:p w14:paraId="0B72E5ED" w14:textId="77777777" w:rsidR="0072097E" w:rsidRPr="000E2659" w:rsidRDefault="00000000">
            <w:pPr>
              <w:rPr>
                <w:lang w:val="es-ES"/>
              </w:rPr>
            </w:pPr>
            <w:r w:rsidRPr="000E2659">
              <w:rPr>
                <w:rFonts w:eastAsiaTheme="minorEastAsia"/>
                <w:lang w:val="es-ES"/>
              </w:rPr>
              <w:t>2.1 Depreciación Activos Existentes</w:t>
            </w:r>
          </w:p>
          <w:p w14:paraId="51EB5D7C"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existentest</m:t>
                    </m:r>
                  </m:sub>
                </m:sSub>
                <m:r>
                  <w:rPr>
                    <w:rFonts w:ascii="Cambria Math" w:hAnsi="Cambria Math"/>
                  </w:rPr>
                  <m:t>=</m:t>
                </m:r>
                <m:sSub>
                  <m:sSubPr>
                    <m:ctrlPr>
                      <w:rPr>
                        <w:rFonts w:ascii="Cambria Math" w:hAnsi="Cambria Math"/>
                      </w:rPr>
                    </m:ctrlPr>
                  </m:sSubPr>
                  <m:e>
                    <m:r>
                      <w:rPr>
                        <w:rFonts w:ascii="Cambria Math" w:hAnsi="Cambria Math"/>
                      </w:rPr>
                      <m:t>AFB</m:t>
                    </m:r>
                  </m:e>
                  <m:sub>
                    <m:r>
                      <w:rPr>
                        <w:rFonts w:ascii="Cambria Math" w:hAnsi="Cambria Math"/>
                      </w:rPr>
                      <m:t>t</m:t>
                    </m:r>
                  </m:sub>
                </m:sSub>
                <m:r>
                  <w:rPr>
                    <w:rFonts w:ascii="Cambria Math" w:hAnsi="Cambria Math"/>
                  </w:rPr>
                  <m:t>*δ</m:t>
                </m:r>
              </m:oMath>
            </m:oMathPara>
          </w:p>
          <w:p w14:paraId="4D6E3437" w14:textId="77777777" w:rsidR="0072097E" w:rsidRPr="000E2659" w:rsidRDefault="0072097E">
            <w:pPr>
              <w:jc w:val="both"/>
              <w:rPr>
                <w:lang w:val="es-ES"/>
              </w:rPr>
            </w:pPr>
          </w:p>
          <w:p w14:paraId="17D5F77A" w14:textId="77777777" w:rsidR="0072097E" w:rsidRPr="000E2659" w:rsidRDefault="00000000">
            <w:pPr>
              <w:rPr>
                <w:lang w:val="es-ES"/>
              </w:rPr>
            </w:pPr>
            <w:r w:rsidRPr="000E2659">
              <w:rPr>
                <w:rFonts w:eastAsiaTheme="minorEastAsia"/>
                <w:lang w:val="es-ES"/>
              </w:rPr>
              <w:t>2.2 Depreciación Inversiones</w:t>
            </w:r>
          </w:p>
          <w:p w14:paraId="0683C077"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futurat</m:t>
                    </m:r>
                  </m:sub>
                </m:sSub>
                <m:r>
                  <w:rPr>
                    <w:rFonts w:ascii="Cambria Math" w:hAnsi="Cambria Math"/>
                  </w:rPr>
                  <m:t>=</m:t>
                </m:r>
                <m:sSub>
                  <m:sSubPr>
                    <m:ctrlPr>
                      <w:rPr>
                        <w:rFonts w:ascii="Cambria Math" w:hAnsi="Cambria Math"/>
                      </w:rPr>
                    </m:ctrlPr>
                  </m:sSubPr>
                  <m:e>
                    <m:r>
                      <w:rPr>
                        <w:rFonts w:ascii="Cambria Math" w:hAnsi="Cambria Math"/>
                      </w:rPr>
                      <m:t>AFB</m:t>
                    </m:r>
                  </m:e>
                  <m:sub>
                    <m:r>
                      <w:rPr>
                        <w:rFonts w:ascii="Cambria Math" w:hAnsi="Cambria Math"/>
                      </w:rPr>
                      <m:t>futurot-1</m:t>
                    </m:r>
                  </m:sub>
                </m:sSub>
                <m:r>
                  <w:rPr>
                    <w:rFonts w:ascii="Cambria Math" w:hAnsi="Cambria Math"/>
                  </w:rPr>
                  <m:t>*δ</m:t>
                </m:r>
              </m:oMath>
            </m:oMathPara>
          </w:p>
          <w:p w14:paraId="077B511A" w14:textId="77777777" w:rsidR="0072097E" w:rsidRPr="000E2659" w:rsidRDefault="0072097E">
            <w:pPr>
              <w:jc w:val="both"/>
              <w:rPr>
                <w:lang w:val="es-ES"/>
              </w:rPr>
            </w:pPr>
          </w:p>
          <w:p w14:paraId="20E30AF2" w14:textId="77777777" w:rsidR="0072097E" w:rsidRPr="000E2659" w:rsidRDefault="0072097E">
            <w:pPr>
              <w:rPr>
                <w:lang w:val="es-ES"/>
              </w:rPr>
            </w:pPr>
          </w:p>
        </w:tc>
        <w:tc>
          <w:tcPr>
            <w:tcW w:w="3584" w:type="dxa"/>
            <w:vMerge/>
          </w:tcPr>
          <w:p w14:paraId="412797BE" w14:textId="77777777" w:rsidR="0072097E" w:rsidRPr="000E2659" w:rsidRDefault="0072097E">
            <w:pPr>
              <w:spacing w:before="120" w:after="120"/>
              <w:jc w:val="both"/>
              <w:rPr>
                <w:lang w:val="es-ES"/>
              </w:rPr>
            </w:pPr>
          </w:p>
        </w:tc>
      </w:tr>
      <w:tr w:rsidR="0072097E" w:rsidRPr="000E2659" w14:paraId="027DBF9E" w14:textId="77777777" w:rsidTr="000E2659">
        <w:trPr>
          <w:trHeight w:val="1911"/>
        </w:trPr>
        <w:tc>
          <w:tcPr>
            <w:tcW w:w="1695" w:type="dxa"/>
          </w:tcPr>
          <w:p w14:paraId="25B9B6CC" w14:textId="77777777" w:rsidR="0072097E" w:rsidRPr="000E2659" w:rsidRDefault="00000000">
            <w:pPr>
              <w:rPr>
                <w:lang w:val="es-ES"/>
              </w:rPr>
            </w:pPr>
            <w:r w:rsidRPr="000E2659">
              <w:rPr>
                <w:lang w:val="es-ES"/>
              </w:rPr>
              <w:t>3. Costos OMAV</w:t>
            </w:r>
          </w:p>
        </w:tc>
        <w:tc>
          <w:tcPr>
            <w:tcW w:w="3549" w:type="dxa"/>
          </w:tcPr>
          <w:p w14:paraId="60A67617" w14:textId="77777777" w:rsidR="0072097E" w:rsidRPr="000E2659" w:rsidRDefault="00000000">
            <w:pPr>
              <w:rPr>
                <w:lang w:val="es-ES"/>
              </w:rPr>
            </w:pPr>
            <m:oMathPara>
              <m:oMathParaPr>
                <m:jc m:val="left"/>
              </m:oMathParaPr>
              <m:oMath>
                <m:sSub>
                  <m:sSubPr>
                    <m:ctrlPr>
                      <w:rPr>
                        <w:rFonts w:ascii="Cambria Math" w:hAnsi="Cambria Math"/>
                      </w:rPr>
                    </m:ctrlPr>
                  </m:sSubPr>
                  <m:e>
                    <m:r>
                      <w:rPr>
                        <w:rFonts w:ascii="Cambria Math" w:hAnsi="Cambria Math"/>
                      </w:rPr>
                      <m:t>OMAV</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OMAV</m:t>
                    </m:r>
                  </m:e>
                  <m:sub>
                    <m:r>
                      <w:rPr>
                        <w:rFonts w:ascii="Cambria Math" w:hAnsi="Cambria Math"/>
                      </w:rPr>
                      <m:t>Empresat</m:t>
                    </m:r>
                  </m:sub>
                </m:sSub>
                <m:r>
                  <w:rPr>
                    <w:rFonts w:ascii="Cambria Math" w:hAnsi="Cambria Math"/>
                  </w:rPr>
                  <m:t>*</m:t>
                </m:r>
                <m:r>
                  <m:rPr>
                    <m:lit/>
                    <m:nor/>
                  </m:rPr>
                  <m:t>%</m:t>
                </m:r>
                <m:r>
                  <w:rPr>
                    <w:rFonts w:ascii="Cambria Math" w:hAnsi="Cambria Math"/>
                  </w:rPr>
                  <m:t>AutorizadoCRE</m:t>
                </m:r>
              </m:oMath>
            </m:oMathPara>
          </w:p>
          <w:p w14:paraId="6D0D4338" w14:textId="77777777" w:rsidR="0072097E" w:rsidRPr="000E2659" w:rsidRDefault="0072097E">
            <w:pPr>
              <w:jc w:val="both"/>
              <w:rPr>
                <w:rFonts w:eastAsia="Calibri"/>
                <w:lang w:val="es-ES"/>
              </w:rPr>
            </w:pPr>
          </w:p>
        </w:tc>
        <w:tc>
          <w:tcPr>
            <w:tcW w:w="3584" w:type="dxa"/>
            <w:vMerge/>
          </w:tcPr>
          <w:p w14:paraId="30D8A6A4" w14:textId="77777777" w:rsidR="0072097E" w:rsidRPr="000E2659" w:rsidRDefault="0072097E">
            <w:pPr>
              <w:spacing w:before="120" w:after="120"/>
              <w:jc w:val="both"/>
              <w:rPr>
                <w:rFonts w:eastAsia="Calibri"/>
                <w:lang w:val="es-ES"/>
              </w:rPr>
            </w:pPr>
          </w:p>
        </w:tc>
      </w:tr>
      <w:tr w:rsidR="0072097E" w:rsidRPr="000E2659" w14:paraId="60E3F303" w14:textId="77777777" w:rsidTr="000E2659">
        <w:trPr>
          <w:trHeight w:val="1912"/>
        </w:trPr>
        <w:tc>
          <w:tcPr>
            <w:tcW w:w="1695" w:type="dxa"/>
          </w:tcPr>
          <w:p w14:paraId="2D2CC24D" w14:textId="77777777" w:rsidR="0072097E" w:rsidRPr="000E2659" w:rsidRDefault="00000000" w:rsidP="000E2659">
            <w:pPr>
              <w:spacing w:line="360" w:lineRule="auto"/>
              <w:rPr>
                <w:lang w:val="es-ES"/>
              </w:rPr>
            </w:pPr>
            <w:r w:rsidRPr="000E2659">
              <w:rPr>
                <w:lang w:val="es-ES"/>
              </w:rPr>
              <w:t>4. Impuestos</w:t>
            </w:r>
          </w:p>
        </w:tc>
        <w:tc>
          <w:tcPr>
            <w:tcW w:w="3549" w:type="dxa"/>
          </w:tcPr>
          <w:p w14:paraId="2926DCC4" w14:textId="77777777" w:rsidR="0072097E" w:rsidRPr="000E2659" w:rsidRDefault="00000000" w:rsidP="000E2659">
            <w:pPr>
              <w:spacing w:line="360" w:lineRule="auto"/>
              <w:rPr>
                <w:rFonts w:eastAsia="Calibri"/>
                <w:lang w:val="es-ES"/>
              </w:rPr>
            </w:pPr>
            <m:oMathPara>
              <m:oMathParaPr>
                <m:jc m:val="left"/>
              </m:oMathParaPr>
              <m:oMath>
                <m:sSub>
                  <m:sSubPr>
                    <m:ctrlPr>
                      <w:rPr>
                        <w:rFonts w:ascii="Cambria Math" w:hAnsi="Cambria Math"/>
                      </w:rPr>
                    </m:ctrlPr>
                  </m:sSubPr>
                  <m:e>
                    <m:r>
                      <w:rPr>
                        <w:rFonts w:ascii="Cambria Math" w:hAnsi="Cambria Math"/>
                      </w:rPr>
                      <m:t>Impuestos</m:t>
                    </m:r>
                  </m:e>
                  <m:sub>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*ISR</m:t>
                    </m:r>
                  </m:num>
                  <m:den>
                    <m:r>
                      <w:rPr>
                        <w:rFonts w:ascii="Cambria Math" w:hAnsi="Cambria Math"/>
                      </w:rPr>
                      <m:t>1-ISR</m:t>
                    </m:r>
                  </m:den>
                </m:f>
              </m:oMath>
            </m:oMathPara>
          </w:p>
        </w:tc>
        <w:tc>
          <w:tcPr>
            <w:tcW w:w="3584" w:type="dxa"/>
            <w:vMerge/>
          </w:tcPr>
          <w:p w14:paraId="52F01F0C" w14:textId="77777777" w:rsidR="0072097E" w:rsidRPr="000E2659" w:rsidRDefault="0072097E" w:rsidP="000E2659">
            <w:pPr>
              <w:spacing w:before="120" w:after="120" w:line="360" w:lineRule="auto"/>
              <w:jc w:val="both"/>
              <w:rPr>
                <w:rFonts w:eastAsia="Calibri"/>
                <w:lang w:val="es-ES"/>
              </w:rPr>
            </w:pPr>
          </w:p>
        </w:tc>
      </w:tr>
    </w:tbl>
    <w:p w14:paraId="23EEAA42" w14:textId="0983EEF6" w:rsidR="0072097E" w:rsidRPr="000E2659" w:rsidRDefault="00000000" w:rsidP="000E2659">
      <w:pPr>
        <w:spacing w:line="360" w:lineRule="auto"/>
        <w:jc w:val="center"/>
      </w:pPr>
      <w:r w:rsidRPr="000E2659">
        <w:t>Fuente: Elaboración propia</w:t>
      </w:r>
    </w:p>
    <w:p w14:paraId="16067C99" w14:textId="77777777" w:rsidR="0072097E" w:rsidRDefault="00000000" w:rsidP="000E2659">
      <w:pPr>
        <w:spacing w:line="360" w:lineRule="auto"/>
        <w:jc w:val="both"/>
      </w:pPr>
      <w:r>
        <w:tab/>
        <w:t xml:space="preserve">En resumen, la segunda etapa consiste en la reconstrucción del RI a nivel de los cuatro componentes, mediante un modelo formulado con base en las tablas 6 y 7 anteriores. Para ello, se parte del RI autorizado por la CRE por un monto de $5,301,406,981.30 a pesos de 2013 y, de un costo de capital de 10.81%, determinado con la metodología vigente aprobada por la CRE mediante la resolución número RES/233/2013 (CRE, 2013) y conforme a los parámetros establecidos en el Anexo II de la resolución número RES/099/2009 (CRE, 2009), considerando 100% capital propio, es decir, la empresa no contrató deuda durante el quinquenio. También, se supone que la CRE autorizó el 100% de las inversiones propuestas por la empresa y que los activos tienen una vida útil promedio de 17 años. </w:t>
      </w:r>
    </w:p>
    <w:p w14:paraId="11E6AC29" w14:textId="77777777" w:rsidR="0072097E" w:rsidRDefault="00000000" w:rsidP="000E2659">
      <w:pPr>
        <w:spacing w:line="360" w:lineRule="auto"/>
        <w:jc w:val="both"/>
      </w:pPr>
      <w:r>
        <w:tab/>
        <w:t xml:space="preserve">Al realizar la formulación del modelo, utilizando las tablas 6 y 7, se calcula el porcentaje de costos OMAV utilizando el </w:t>
      </w:r>
      <w:proofErr w:type="spellStart"/>
      <w:r>
        <w:rPr>
          <w:i/>
          <w:iCs/>
        </w:rPr>
        <w:t>solver</w:t>
      </w:r>
      <w:proofErr w:type="spellEnd"/>
      <w:r>
        <w:rPr>
          <w:rStyle w:val="Refdenotaalpie"/>
          <w:i/>
          <w:iCs/>
        </w:rPr>
        <w:footnoteReference w:id="6"/>
      </w:r>
      <w:r>
        <w:t>, determinando así el RI que iguala el RI calculado (celda G8 de la Figura 2) al RI autorizado por la CRE (celda G10 de la Figura 2).</w:t>
      </w:r>
    </w:p>
    <w:p w14:paraId="59676BAC" w14:textId="77777777" w:rsidR="0072097E" w:rsidRDefault="0072097E" w:rsidP="000E2659">
      <w:pPr>
        <w:spacing w:line="360" w:lineRule="auto"/>
        <w:jc w:val="both"/>
      </w:pPr>
    </w:p>
    <w:p w14:paraId="6F9A89F6" w14:textId="77777777" w:rsidR="0072097E" w:rsidRDefault="00000000" w:rsidP="000E2659">
      <w:pPr>
        <w:spacing w:line="360" w:lineRule="auto"/>
        <w:jc w:val="center"/>
        <w:rPr>
          <w:b/>
          <w:bCs/>
          <w:lang w:val="es-ES"/>
        </w:rPr>
      </w:pPr>
      <w:r>
        <w:rPr>
          <w:b/>
          <w:bCs/>
          <w:lang w:val="es-ES"/>
        </w:rPr>
        <w:t xml:space="preserve">Figura 2. </w:t>
      </w:r>
      <w:r>
        <w:rPr>
          <w:lang w:val="es-ES"/>
        </w:rPr>
        <w:t xml:space="preserve">Estimación del requerimiento de ingresos mediante </w:t>
      </w:r>
      <w:proofErr w:type="spellStart"/>
      <w:r>
        <w:rPr>
          <w:lang w:val="es-ES"/>
        </w:rPr>
        <w:t>Solver</w:t>
      </w:r>
      <w:proofErr w:type="spellEnd"/>
    </w:p>
    <w:p w14:paraId="16AB9276" w14:textId="77777777" w:rsidR="0072097E" w:rsidRDefault="00000000">
      <w:pPr>
        <w:spacing w:before="120" w:after="120" w:line="360" w:lineRule="auto"/>
        <w:jc w:val="both"/>
        <w:rPr>
          <w:lang w:val="es-ES"/>
        </w:rPr>
      </w:pPr>
      <w:r>
        <w:rPr>
          <w:noProof/>
        </w:rPr>
        <w:drawing>
          <wp:inline distT="0" distB="0" distL="0" distR="0" wp14:anchorId="1802C703" wp14:editId="3D996A5F">
            <wp:extent cx="5612130" cy="191770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9"/>
                    <a:stretch>
                      <a:fillRect/>
                    </a:stretch>
                  </pic:blipFill>
                  <pic:spPr bwMode="auto">
                    <a:xfrm>
                      <a:off x="0" y="0"/>
                      <a:ext cx="5612130" cy="1917700"/>
                    </a:xfrm>
                    <a:prstGeom prst="rect">
                      <a:avLst/>
                    </a:prstGeom>
                  </pic:spPr>
                </pic:pic>
              </a:graphicData>
            </a:graphic>
          </wp:inline>
        </w:drawing>
      </w:r>
    </w:p>
    <w:p w14:paraId="61680D03" w14:textId="349A0FEE" w:rsidR="0072097E" w:rsidRPr="0039141E" w:rsidRDefault="00000000" w:rsidP="0039141E">
      <w:pPr>
        <w:spacing w:line="360" w:lineRule="auto"/>
        <w:jc w:val="center"/>
        <w:rPr>
          <w:lang w:val="es-ES"/>
        </w:rPr>
      </w:pPr>
      <w:r w:rsidRPr="000E2659">
        <w:rPr>
          <w:lang w:val="es-ES"/>
        </w:rPr>
        <w:t>Fuente: Cálculos propios con base en los cuadros 5 y 6, y CRE (2015, 2016)</w:t>
      </w:r>
    </w:p>
    <w:p w14:paraId="6FC81CDB" w14:textId="77777777" w:rsidR="0072097E" w:rsidRDefault="00000000">
      <w:pPr>
        <w:spacing w:line="360" w:lineRule="auto"/>
        <w:jc w:val="both"/>
        <w:rPr>
          <w:lang w:val="es-ES"/>
        </w:rPr>
      </w:pPr>
      <w:r>
        <w:rPr>
          <w:lang w:val="es-ES"/>
        </w:rPr>
        <w:lastRenderedPageBreak/>
        <w:tab/>
        <w:t xml:space="preserve">Específicamente, al ejecutar el </w:t>
      </w:r>
      <w:proofErr w:type="spellStart"/>
      <w:r>
        <w:rPr>
          <w:i/>
          <w:iCs/>
          <w:lang w:val="es-ES"/>
        </w:rPr>
        <w:t>solve</w:t>
      </w:r>
      <w:r>
        <w:rPr>
          <w:lang w:val="es-ES"/>
        </w:rPr>
        <w:t>r</w:t>
      </w:r>
      <w:proofErr w:type="spellEnd"/>
      <w:r>
        <w:rPr>
          <w:lang w:val="es-ES"/>
        </w:rPr>
        <w:t xml:space="preserve"> arroja el resultado de 55.1% de costos OMAV (celda G14 </w:t>
      </w:r>
      <w:r>
        <w:t>de la Figura 2</w:t>
      </w:r>
      <w:r>
        <w:rPr>
          <w:lang w:val="es-ES"/>
        </w:rPr>
        <w:t xml:space="preserve">) que permite tener un valor de 0 en la celda objetivo (celda G12 de la Figura 2) y por tanto calcular un RI de $5,301.41 (celda G8 </w:t>
      </w:r>
      <w:r>
        <w:t>de la Figura 2</w:t>
      </w:r>
      <w:r>
        <w:rPr>
          <w:lang w:val="es-ES"/>
        </w:rPr>
        <w:t>).</w:t>
      </w:r>
    </w:p>
    <w:p w14:paraId="6B07E58F" w14:textId="77777777" w:rsidR="0072097E" w:rsidRDefault="0072097E">
      <w:pPr>
        <w:spacing w:line="360" w:lineRule="auto"/>
        <w:jc w:val="both"/>
        <w:rPr>
          <w:lang w:val="es-ES"/>
        </w:rPr>
      </w:pPr>
    </w:p>
    <w:p w14:paraId="28FE7D49" w14:textId="161A6968" w:rsidR="0072097E" w:rsidRPr="000E2659" w:rsidRDefault="00000000" w:rsidP="000E2659">
      <w:pPr>
        <w:spacing w:line="360" w:lineRule="auto"/>
        <w:jc w:val="center"/>
        <w:rPr>
          <w:sz w:val="28"/>
          <w:szCs w:val="28"/>
          <w:lang w:val="es-ES"/>
        </w:rPr>
      </w:pPr>
      <w:bookmarkStart w:id="2" w:name="_Hlk108720998"/>
      <w:r w:rsidRPr="000E2659">
        <w:rPr>
          <w:b/>
          <w:bCs/>
          <w:sz w:val="28"/>
          <w:szCs w:val="28"/>
          <w:lang w:val="es-ES"/>
        </w:rPr>
        <w:t>Resultados de la reconstrucción</w:t>
      </w:r>
      <w:bookmarkEnd w:id="2"/>
    </w:p>
    <w:p w14:paraId="4619275F" w14:textId="77777777" w:rsidR="0072097E" w:rsidRDefault="00000000">
      <w:pPr>
        <w:spacing w:line="360" w:lineRule="auto"/>
        <w:jc w:val="both"/>
        <w:rPr>
          <w:lang w:val="es-ES"/>
        </w:rPr>
      </w:pPr>
      <w:r>
        <w:rPr>
          <w:lang w:val="es-ES"/>
        </w:rPr>
        <w:t>A continuación, se presentan las tablas con los resultados de las dos etapas, en las tablas 8, 9 y 10. Los hallazgos se comentan al final de cada tabla.</w:t>
      </w:r>
    </w:p>
    <w:p w14:paraId="1A253B99" w14:textId="77777777" w:rsidR="0039141E" w:rsidRDefault="0039141E">
      <w:pPr>
        <w:spacing w:line="360" w:lineRule="auto"/>
        <w:jc w:val="both"/>
        <w:rPr>
          <w:lang w:val="es-ES"/>
        </w:rPr>
      </w:pPr>
    </w:p>
    <w:p w14:paraId="2C2A9D9B" w14:textId="77777777" w:rsidR="0072097E" w:rsidRDefault="00000000">
      <w:pPr>
        <w:spacing w:line="360" w:lineRule="auto"/>
        <w:jc w:val="center"/>
      </w:pPr>
      <w:r>
        <w:rPr>
          <w:b/>
          <w:bCs/>
        </w:rPr>
        <w:t>Tabla 8.</w:t>
      </w:r>
      <w:r>
        <w:t xml:space="preserve"> Requerimiento de ingresos por grupo tarifario, según costos fijos y variables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1134"/>
        <w:gridCol w:w="849"/>
        <w:gridCol w:w="1276"/>
        <w:gridCol w:w="142"/>
        <w:gridCol w:w="710"/>
        <w:gridCol w:w="849"/>
        <w:gridCol w:w="993"/>
        <w:gridCol w:w="992"/>
        <w:gridCol w:w="850"/>
      </w:tblGrid>
      <w:tr w:rsidR="0072097E" w:rsidRPr="002D22C8" w14:paraId="510AF68C" w14:textId="77777777" w:rsidTr="002D22C8">
        <w:trPr>
          <w:trHeight w:val="625"/>
        </w:trPr>
        <w:tc>
          <w:tcPr>
            <w:tcW w:w="1418" w:type="dxa"/>
            <w:shd w:val="clear" w:color="auto" w:fill="auto"/>
            <w:vAlign w:val="center"/>
          </w:tcPr>
          <w:p w14:paraId="79ECFBF4" w14:textId="77777777" w:rsidR="0072097E" w:rsidRPr="002D22C8" w:rsidRDefault="00000000">
            <w:pPr>
              <w:widowControl w:val="0"/>
              <w:spacing w:line="360" w:lineRule="auto"/>
              <w:jc w:val="center"/>
              <w:rPr>
                <w:color w:val="000000"/>
              </w:rPr>
            </w:pPr>
            <w:r w:rsidRPr="002D22C8">
              <w:rPr>
                <w:color w:val="000000"/>
              </w:rPr>
              <w:t>Grupo Tarifario</w:t>
            </w:r>
          </w:p>
        </w:tc>
        <w:tc>
          <w:tcPr>
            <w:tcW w:w="1134" w:type="dxa"/>
            <w:shd w:val="clear" w:color="auto" w:fill="auto"/>
            <w:vAlign w:val="center"/>
          </w:tcPr>
          <w:p w14:paraId="138AA5C5" w14:textId="77777777" w:rsidR="0072097E" w:rsidRPr="002D22C8" w:rsidRDefault="00000000">
            <w:pPr>
              <w:widowControl w:val="0"/>
              <w:spacing w:line="360" w:lineRule="auto"/>
              <w:jc w:val="center"/>
              <w:rPr>
                <w:color w:val="000000"/>
              </w:rPr>
            </w:pPr>
            <w:r w:rsidRPr="002D22C8">
              <w:rPr>
                <w:color w:val="000000"/>
              </w:rPr>
              <w:t xml:space="preserve">RI por servicio   </w:t>
            </w:r>
            <w:proofErr w:type="gramStart"/>
            <w:r w:rsidRPr="002D22C8">
              <w:rPr>
                <w:color w:val="000000"/>
              </w:rPr>
              <w:t xml:space="preserve">   (</w:t>
            </w:r>
            <w:proofErr w:type="gramEnd"/>
            <w:r w:rsidRPr="002D22C8">
              <w:rPr>
                <w:color w:val="000000"/>
              </w:rPr>
              <w:t>pesos 2015)</w:t>
            </w:r>
          </w:p>
        </w:tc>
        <w:tc>
          <w:tcPr>
            <w:tcW w:w="849" w:type="dxa"/>
            <w:shd w:val="clear" w:color="auto" w:fill="auto"/>
            <w:vAlign w:val="center"/>
          </w:tcPr>
          <w:p w14:paraId="49064038" w14:textId="77777777" w:rsidR="0072097E" w:rsidRPr="002D22C8" w:rsidRDefault="00000000">
            <w:pPr>
              <w:widowControl w:val="0"/>
              <w:spacing w:line="360" w:lineRule="auto"/>
              <w:jc w:val="center"/>
              <w:rPr>
                <w:color w:val="000000"/>
              </w:rPr>
            </w:pPr>
            <w:r w:rsidRPr="002D22C8">
              <w:rPr>
                <w:color w:val="000000"/>
              </w:rPr>
              <w:t>% RICS</w:t>
            </w:r>
          </w:p>
        </w:tc>
        <w:tc>
          <w:tcPr>
            <w:tcW w:w="1418" w:type="dxa"/>
            <w:gridSpan w:val="2"/>
            <w:shd w:val="clear" w:color="auto" w:fill="auto"/>
            <w:vAlign w:val="center"/>
          </w:tcPr>
          <w:p w14:paraId="0FDA9364" w14:textId="77777777" w:rsidR="0072097E" w:rsidRPr="002D22C8" w:rsidRDefault="00000000">
            <w:pPr>
              <w:widowControl w:val="0"/>
              <w:spacing w:line="360" w:lineRule="auto"/>
              <w:jc w:val="center"/>
              <w:rPr>
                <w:color w:val="000000"/>
              </w:rPr>
            </w:pPr>
            <w:r w:rsidRPr="002D22C8">
              <w:rPr>
                <w:color w:val="000000"/>
              </w:rPr>
              <w:t xml:space="preserve">RI por distribución </w:t>
            </w:r>
            <w:r w:rsidRPr="002D22C8">
              <w:rPr>
                <w:color w:val="000000"/>
              </w:rPr>
              <w:br/>
              <w:t>(pesos 2015)</w:t>
            </w:r>
          </w:p>
        </w:tc>
        <w:tc>
          <w:tcPr>
            <w:tcW w:w="710" w:type="dxa"/>
            <w:shd w:val="clear" w:color="auto" w:fill="auto"/>
            <w:vAlign w:val="center"/>
          </w:tcPr>
          <w:p w14:paraId="4F551E25" w14:textId="77777777" w:rsidR="0072097E" w:rsidRPr="002D22C8" w:rsidRDefault="00000000">
            <w:pPr>
              <w:widowControl w:val="0"/>
              <w:spacing w:line="360" w:lineRule="auto"/>
              <w:jc w:val="center"/>
              <w:rPr>
                <w:color w:val="000000"/>
              </w:rPr>
            </w:pPr>
            <w:r w:rsidRPr="002D22C8">
              <w:rPr>
                <w:color w:val="000000"/>
              </w:rPr>
              <w:t>% RICDC</w:t>
            </w:r>
          </w:p>
        </w:tc>
        <w:tc>
          <w:tcPr>
            <w:tcW w:w="849" w:type="dxa"/>
            <w:shd w:val="clear" w:color="auto" w:fill="auto"/>
            <w:vAlign w:val="center"/>
          </w:tcPr>
          <w:p w14:paraId="0F7261D6" w14:textId="77777777" w:rsidR="0072097E" w:rsidRPr="002D22C8" w:rsidRDefault="00000000">
            <w:pPr>
              <w:widowControl w:val="0"/>
              <w:spacing w:after="240" w:line="360" w:lineRule="auto"/>
              <w:jc w:val="center"/>
              <w:rPr>
                <w:color w:val="000000"/>
              </w:rPr>
            </w:pPr>
            <w:r w:rsidRPr="002D22C8">
              <w:rPr>
                <w:color w:val="000000"/>
              </w:rPr>
              <w:t>Usuarios</w:t>
            </w:r>
          </w:p>
        </w:tc>
        <w:tc>
          <w:tcPr>
            <w:tcW w:w="993" w:type="dxa"/>
            <w:shd w:val="clear" w:color="auto" w:fill="auto"/>
            <w:vAlign w:val="center"/>
          </w:tcPr>
          <w:p w14:paraId="322013E7" w14:textId="77777777" w:rsidR="0072097E" w:rsidRPr="002D22C8" w:rsidRDefault="00000000">
            <w:pPr>
              <w:widowControl w:val="0"/>
              <w:spacing w:after="240" w:line="360" w:lineRule="auto"/>
              <w:jc w:val="center"/>
              <w:rPr>
                <w:color w:val="000000"/>
              </w:rPr>
            </w:pPr>
            <w:r w:rsidRPr="002D22C8">
              <w:rPr>
                <w:color w:val="000000"/>
              </w:rPr>
              <w:t>% Usuarios</w:t>
            </w:r>
          </w:p>
        </w:tc>
        <w:tc>
          <w:tcPr>
            <w:tcW w:w="992" w:type="dxa"/>
            <w:shd w:val="clear" w:color="auto" w:fill="auto"/>
            <w:vAlign w:val="center"/>
          </w:tcPr>
          <w:p w14:paraId="13A8517F" w14:textId="77777777" w:rsidR="0072097E" w:rsidRPr="002D22C8" w:rsidRDefault="00000000">
            <w:pPr>
              <w:widowControl w:val="0"/>
              <w:spacing w:line="360" w:lineRule="auto"/>
              <w:jc w:val="center"/>
              <w:rPr>
                <w:color w:val="000000"/>
              </w:rPr>
            </w:pPr>
            <w:r w:rsidRPr="002D22C8">
              <w:rPr>
                <w:color w:val="000000"/>
              </w:rPr>
              <w:t>Energía</w:t>
            </w:r>
            <w:r w:rsidRPr="002D22C8">
              <w:rPr>
                <w:color w:val="000000"/>
              </w:rPr>
              <w:br/>
              <w:t>(GJ)</w:t>
            </w:r>
          </w:p>
        </w:tc>
        <w:tc>
          <w:tcPr>
            <w:tcW w:w="850" w:type="dxa"/>
            <w:shd w:val="clear" w:color="auto" w:fill="auto"/>
            <w:vAlign w:val="center"/>
          </w:tcPr>
          <w:p w14:paraId="3B4B410A" w14:textId="77777777" w:rsidR="0072097E" w:rsidRPr="002D22C8" w:rsidRDefault="00000000">
            <w:pPr>
              <w:widowControl w:val="0"/>
              <w:spacing w:line="360" w:lineRule="auto"/>
              <w:jc w:val="center"/>
              <w:rPr>
                <w:color w:val="000000"/>
              </w:rPr>
            </w:pPr>
            <w:r w:rsidRPr="002D22C8">
              <w:rPr>
                <w:color w:val="000000"/>
              </w:rPr>
              <w:t>% Energía</w:t>
            </w:r>
          </w:p>
        </w:tc>
      </w:tr>
      <w:tr w:rsidR="0072097E" w:rsidRPr="002D22C8" w14:paraId="7501A0C4" w14:textId="77777777" w:rsidTr="002D22C8">
        <w:trPr>
          <w:trHeight w:val="144"/>
        </w:trPr>
        <w:tc>
          <w:tcPr>
            <w:tcW w:w="1418" w:type="dxa"/>
            <w:shd w:val="clear" w:color="auto" w:fill="auto"/>
            <w:vAlign w:val="center"/>
          </w:tcPr>
          <w:p w14:paraId="2CA13180" w14:textId="77777777" w:rsidR="0072097E" w:rsidRPr="002D22C8" w:rsidRDefault="00000000">
            <w:pPr>
              <w:widowControl w:val="0"/>
              <w:spacing w:line="360" w:lineRule="auto"/>
              <w:rPr>
                <w:color w:val="000000"/>
              </w:rPr>
            </w:pPr>
            <w:r w:rsidRPr="002D22C8">
              <w:rPr>
                <w:color w:val="000000"/>
              </w:rPr>
              <w:t>Residencial</w:t>
            </w:r>
          </w:p>
        </w:tc>
        <w:tc>
          <w:tcPr>
            <w:tcW w:w="1134" w:type="dxa"/>
            <w:shd w:val="clear" w:color="auto" w:fill="auto"/>
            <w:vAlign w:val="center"/>
          </w:tcPr>
          <w:p w14:paraId="3EF4D0C5" w14:textId="77777777" w:rsidR="0072097E" w:rsidRPr="002D22C8" w:rsidRDefault="00000000">
            <w:pPr>
              <w:widowControl w:val="0"/>
              <w:spacing w:line="360" w:lineRule="auto"/>
              <w:jc w:val="right"/>
              <w:rPr>
                <w:color w:val="000000"/>
              </w:rPr>
            </w:pPr>
            <w:r w:rsidRPr="002D22C8">
              <w:rPr>
                <w:color w:val="000000"/>
              </w:rPr>
              <w:t>1,548,033,480</w:t>
            </w:r>
          </w:p>
        </w:tc>
        <w:tc>
          <w:tcPr>
            <w:tcW w:w="849" w:type="dxa"/>
            <w:shd w:val="clear" w:color="auto" w:fill="auto"/>
            <w:vAlign w:val="center"/>
          </w:tcPr>
          <w:p w14:paraId="50F9E42A" w14:textId="77777777" w:rsidR="0072097E" w:rsidRPr="002D22C8" w:rsidRDefault="00000000">
            <w:pPr>
              <w:widowControl w:val="0"/>
              <w:spacing w:line="360" w:lineRule="auto"/>
              <w:jc w:val="right"/>
              <w:rPr>
                <w:color w:val="000000"/>
              </w:rPr>
            </w:pPr>
            <w:r w:rsidRPr="002D22C8">
              <w:rPr>
                <w:color w:val="000000"/>
              </w:rPr>
              <w:t>94.0%</w:t>
            </w:r>
          </w:p>
        </w:tc>
        <w:tc>
          <w:tcPr>
            <w:tcW w:w="1276" w:type="dxa"/>
            <w:shd w:val="clear" w:color="auto" w:fill="auto"/>
            <w:vAlign w:val="center"/>
          </w:tcPr>
          <w:p w14:paraId="1DB30DDB" w14:textId="77777777" w:rsidR="0072097E" w:rsidRPr="002D22C8" w:rsidRDefault="00000000">
            <w:pPr>
              <w:widowControl w:val="0"/>
              <w:spacing w:line="360" w:lineRule="auto"/>
              <w:jc w:val="right"/>
              <w:rPr>
                <w:color w:val="000000"/>
              </w:rPr>
            </w:pPr>
            <w:r w:rsidRPr="002D22C8">
              <w:rPr>
                <w:color w:val="000000"/>
              </w:rPr>
              <w:t>2,818,838,850</w:t>
            </w:r>
          </w:p>
        </w:tc>
        <w:tc>
          <w:tcPr>
            <w:tcW w:w="852" w:type="dxa"/>
            <w:gridSpan w:val="2"/>
            <w:shd w:val="clear" w:color="auto" w:fill="auto"/>
            <w:vAlign w:val="center"/>
          </w:tcPr>
          <w:p w14:paraId="792741ED" w14:textId="77777777" w:rsidR="0072097E" w:rsidRPr="002D22C8" w:rsidRDefault="00000000">
            <w:pPr>
              <w:widowControl w:val="0"/>
              <w:spacing w:line="360" w:lineRule="auto"/>
              <w:jc w:val="right"/>
              <w:rPr>
                <w:color w:val="000000"/>
              </w:rPr>
            </w:pPr>
            <w:r w:rsidRPr="002D22C8">
              <w:rPr>
                <w:color w:val="000000"/>
              </w:rPr>
              <w:t>60.8%</w:t>
            </w:r>
          </w:p>
        </w:tc>
        <w:tc>
          <w:tcPr>
            <w:tcW w:w="849" w:type="dxa"/>
            <w:shd w:val="clear" w:color="auto" w:fill="auto"/>
            <w:vAlign w:val="center"/>
          </w:tcPr>
          <w:p w14:paraId="72192A37" w14:textId="77777777" w:rsidR="0072097E" w:rsidRPr="002D22C8" w:rsidRDefault="00000000">
            <w:pPr>
              <w:widowControl w:val="0"/>
              <w:spacing w:line="360" w:lineRule="auto"/>
              <w:jc w:val="right"/>
              <w:rPr>
                <w:color w:val="000000"/>
              </w:rPr>
            </w:pPr>
            <w:r w:rsidRPr="002D22C8">
              <w:rPr>
                <w:color w:val="000000"/>
              </w:rPr>
              <w:t>614,299</w:t>
            </w:r>
          </w:p>
        </w:tc>
        <w:tc>
          <w:tcPr>
            <w:tcW w:w="993" w:type="dxa"/>
            <w:shd w:val="clear" w:color="auto" w:fill="auto"/>
            <w:vAlign w:val="center"/>
          </w:tcPr>
          <w:p w14:paraId="4A756967" w14:textId="77777777" w:rsidR="0072097E" w:rsidRPr="002D22C8" w:rsidRDefault="00000000">
            <w:pPr>
              <w:widowControl w:val="0"/>
              <w:spacing w:line="360" w:lineRule="auto"/>
              <w:jc w:val="right"/>
              <w:rPr>
                <w:color w:val="000000"/>
              </w:rPr>
            </w:pPr>
            <w:r w:rsidRPr="002D22C8">
              <w:rPr>
                <w:color w:val="000000"/>
              </w:rPr>
              <w:t>98.7%</w:t>
            </w:r>
          </w:p>
        </w:tc>
        <w:tc>
          <w:tcPr>
            <w:tcW w:w="992" w:type="dxa"/>
            <w:shd w:val="clear" w:color="auto" w:fill="auto"/>
            <w:vAlign w:val="center"/>
          </w:tcPr>
          <w:p w14:paraId="15598424" w14:textId="77777777" w:rsidR="0072097E" w:rsidRPr="002D22C8" w:rsidRDefault="00000000">
            <w:pPr>
              <w:widowControl w:val="0"/>
              <w:spacing w:line="360" w:lineRule="auto"/>
              <w:jc w:val="right"/>
              <w:rPr>
                <w:color w:val="000000"/>
              </w:rPr>
            </w:pPr>
            <w:r w:rsidRPr="002D22C8">
              <w:rPr>
                <w:color w:val="000000"/>
              </w:rPr>
              <w:t>29,874,031</w:t>
            </w:r>
          </w:p>
        </w:tc>
        <w:tc>
          <w:tcPr>
            <w:tcW w:w="850" w:type="dxa"/>
            <w:shd w:val="clear" w:color="auto" w:fill="auto"/>
            <w:vAlign w:val="center"/>
          </w:tcPr>
          <w:p w14:paraId="262F05E3" w14:textId="77777777" w:rsidR="0072097E" w:rsidRPr="002D22C8" w:rsidRDefault="00000000">
            <w:pPr>
              <w:widowControl w:val="0"/>
              <w:spacing w:line="360" w:lineRule="auto"/>
              <w:jc w:val="right"/>
              <w:rPr>
                <w:color w:val="000000"/>
              </w:rPr>
            </w:pPr>
            <w:r w:rsidRPr="002D22C8">
              <w:rPr>
                <w:color w:val="000000"/>
              </w:rPr>
              <w:t>14.6%</w:t>
            </w:r>
          </w:p>
        </w:tc>
      </w:tr>
      <w:tr w:rsidR="0072097E" w:rsidRPr="002D22C8" w14:paraId="73AE9C6A" w14:textId="77777777" w:rsidTr="002D22C8">
        <w:trPr>
          <w:trHeight w:val="178"/>
        </w:trPr>
        <w:tc>
          <w:tcPr>
            <w:tcW w:w="1418" w:type="dxa"/>
            <w:shd w:val="clear" w:color="auto" w:fill="auto"/>
            <w:vAlign w:val="center"/>
          </w:tcPr>
          <w:p w14:paraId="5A816E18" w14:textId="77777777" w:rsidR="0072097E" w:rsidRPr="002D22C8" w:rsidRDefault="00000000">
            <w:pPr>
              <w:widowControl w:val="0"/>
              <w:spacing w:line="360" w:lineRule="auto"/>
              <w:rPr>
                <w:color w:val="000000"/>
              </w:rPr>
            </w:pPr>
            <w:r w:rsidRPr="002D22C8">
              <w:rPr>
                <w:color w:val="000000"/>
              </w:rPr>
              <w:t>Comercial</w:t>
            </w:r>
          </w:p>
        </w:tc>
        <w:tc>
          <w:tcPr>
            <w:tcW w:w="1134" w:type="dxa"/>
            <w:shd w:val="clear" w:color="auto" w:fill="auto"/>
            <w:vAlign w:val="center"/>
          </w:tcPr>
          <w:p w14:paraId="32698854" w14:textId="77777777" w:rsidR="0072097E" w:rsidRPr="002D22C8" w:rsidRDefault="00000000">
            <w:pPr>
              <w:widowControl w:val="0"/>
              <w:spacing w:line="360" w:lineRule="auto"/>
              <w:jc w:val="right"/>
              <w:rPr>
                <w:color w:val="000000"/>
              </w:rPr>
            </w:pPr>
            <w:r w:rsidRPr="002D22C8">
              <w:rPr>
                <w:color w:val="000000"/>
              </w:rPr>
              <w:t>46,182,000</w:t>
            </w:r>
          </w:p>
        </w:tc>
        <w:tc>
          <w:tcPr>
            <w:tcW w:w="849" w:type="dxa"/>
            <w:shd w:val="clear" w:color="auto" w:fill="auto"/>
            <w:vAlign w:val="center"/>
          </w:tcPr>
          <w:p w14:paraId="159FD0CA" w14:textId="77777777" w:rsidR="0072097E" w:rsidRPr="002D22C8" w:rsidRDefault="00000000">
            <w:pPr>
              <w:widowControl w:val="0"/>
              <w:spacing w:line="360" w:lineRule="auto"/>
              <w:jc w:val="right"/>
              <w:rPr>
                <w:color w:val="000000"/>
              </w:rPr>
            </w:pPr>
            <w:r w:rsidRPr="002D22C8">
              <w:rPr>
                <w:color w:val="000000"/>
              </w:rPr>
              <w:t>2.8%</w:t>
            </w:r>
          </w:p>
        </w:tc>
        <w:tc>
          <w:tcPr>
            <w:tcW w:w="1276" w:type="dxa"/>
            <w:shd w:val="clear" w:color="auto" w:fill="auto"/>
            <w:vAlign w:val="center"/>
          </w:tcPr>
          <w:p w14:paraId="2F1999CB" w14:textId="77777777" w:rsidR="0072097E" w:rsidRPr="002D22C8" w:rsidRDefault="00000000">
            <w:pPr>
              <w:widowControl w:val="0"/>
              <w:spacing w:line="360" w:lineRule="auto"/>
              <w:jc w:val="right"/>
              <w:rPr>
                <w:color w:val="000000"/>
              </w:rPr>
            </w:pPr>
            <w:r w:rsidRPr="002D22C8">
              <w:rPr>
                <w:color w:val="000000"/>
              </w:rPr>
              <w:t>239,334,910</w:t>
            </w:r>
          </w:p>
        </w:tc>
        <w:tc>
          <w:tcPr>
            <w:tcW w:w="852" w:type="dxa"/>
            <w:gridSpan w:val="2"/>
            <w:shd w:val="clear" w:color="auto" w:fill="auto"/>
            <w:vAlign w:val="center"/>
          </w:tcPr>
          <w:p w14:paraId="042DD45F" w14:textId="77777777" w:rsidR="0072097E" w:rsidRPr="002D22C8" w:rsidRDefault="00000000">
            <w:pPr>
              <w:widowControl w:val="0"/>
              <w:spacing w:line="360" w:lineRule="auto"/>
              <w:jc w:val="right"/>
              <w:rPr>
                <w:color w:val="000000"/>
              </w:rPr>
            </w:pPr>
            <w:r w:rsidRPr="002D22C8">
              <w:rPr>
                <w:color w:val="000000"/>
              </w:rPr>
              <w:t>5.2%</w:t>
            </w:r>
          </w:p>
        </w:tc>
        <w:tc>
          <w:tcPr>
            <w:tcW w:w="849" w:type="dxa"/>
            <w:shd w:val="clear" w:color="auto" w:fill="auto"/>
            <w:vAlign w:val="center"/>
          </w:tcPr>
          <w:p w14:paraId="6D38E8E5" w14:textId="77777777" w:rsidR="0072097E" w:rsidRPr="002D22C8" w:rsidRDefault="00000000">
            <w:pPr>
              <w:widowControl w:val="0"/>
              <w:spacing w:line="360" w:lineRule="auto"/>
              <w:jc w:val="right"/>
              <w:rPr>
                <w:color w:val="000000"/>
              </w:rPr>
            </w:pPr>
            <w:r w:rsidRPr="002D22C8">
              <w:rPr>
                <w:color w:val="000000"/>
              </w:rPr>
              <w:t>7,697</w:t>
            </w:r>
          </w:p>
        </w:tc>
        <w:tc>
          <w:tcPr>
            <w:tcW w:w="993" w:type="dxa"/>
            <w:shd w:val="clear" w:color="auto" w:fill="auto"/>
            <w:vAlign w:val="center"/>
          </w:tcPr>
          <w:p w14:paraId="3B4B95B9" w14:textId="77777777" w:rsidR="0072097E" w:rsidRPr="002D22C8" w:rsidRDefault="00000000">
            <w:pPr>
              <w:widowControl w:val="0"/>
              <w:spacing w:line="360" w:lineRule="auto"/>
              <w:jc w:val="right"/>
              <w:rPr>
                <w:color w:val="000000"/>
              </w:rPr>
            </w:pPr>
            <w:r w:rsidRPr="002D22C8">
              <w:rPr>
                <w:color w:val="000000"/>
              </w:rPr>
              <w:t>1.2%</w:t>
            </w:r>
          </w:p>
        </w:tc>
        <w:tc>
          <w:tcPr>
            <w:tcW w:w="992" w:type="dxa"/>
            <w:shd w:val="clear" w:color="auto" w:fill="auto"/>
            <w:vAlign w:val="center"/>
          </w:tcPr>
          <w:p w14:paraId="5DBBAFD9" w14:textId="77777777" w:rsidR="0072097E" w:rsidRPr="002D22C8" w:rsidRDefault="00000000">
            <w:pPr>
              <w:widowControl w:val="0"/>
              <w:spacing w:line="360" w:lineRule="auto"/>
              <w:jc w:val="right"/>
              <w:rPr>
                <w:color w:val="000000"/>
              </w:rPr>
            </w:pPr>
            <w:r w:rsidRPr="002D22C8">
              <w:rPr>
                <w:color w:val="000000"/>
              </w:rPr>
              <w:t>5,608,698</w:t>
            </w:r>
          </w:p>
        </w:tc>
        <w:tc>
          <w:tcPr>
            <w:tcW w:w="850" w:type="dxa"/>
            <w:shd w:val="clear" w:color="auto" w:fill="auto"/>
            <w:vAlign w:val="center"/>
          </w:tcPr>
          <w:p w14:paraId="04560947" w14:textId="77777777" w:rsidR="0072097E" w:rsidRPr="002D22C8" w:rsidRDefault="00000000">
            <w:pPr>
              <w:widowControl w:val="0"/>
              <w:spacing w:line="360" w:lineRule="auto"/>
              <w:jc w:val="right"/>
              <w:rPr>
                <w:color w:val="000000"/>
              </w:rPr>
            </w:pPr>
            <w:r w:rsidRPr="002D22C8">
              <w:rPr>
                <w:color w:val="000000"/>
              </w:rPr>
              <w:t>2.7%</w:t>
            </w:r>
          </w:p>
        </w:tc>
      </w:tr>
      <w:tr w:rsidR="0072097E" w:rsidRPr="002D22C8" w14:paraId="5AC30C29" w14:textId="77777777" w:rsidTr="002D22C8">
        <w:trPr>
          <w:trHeight w:val="391"/>
        </w:trPr>
        <w:tc>
          <w:tcPr>
            <w:tcW w:w="1418" w:type="dxa"/>
            <w:shd w:val="clear" w:color="auto" w:fill="auto"/>
            <w:vAlign w:val="center"/>
          </w:tcPr>
          <w:p w14:paraId="0CB3947C" w14:textId="77777777" w:rsidR="0072097E" w:rsidRPr="002D22C8" w:rsidRDefault="00000000">
            <w:pPr>
              <w:widowControl w:val="0"/>
              <w:spacing w:line="360" w:lineRule="auto"/>
              <w:rPr>
                <w:color w:val="000000"/>
              </w:rPr>
            </w:pPr>
            <w:r w:rsidRPr="002D22C8">
              <w:rPr>
                <w:color w:val="000000"/>
              </w:rPr>
              <w:t>Gran comercial-Pequeño Industrial</w:t>
            </w:r>
          </w:p>
        </w:tc>
        <w:tc>
          <w:tcPr>
            <w:tcW w:w="1134" w:type="dxa"/>
            <w:shd w:val="clear" w:color="auto" w:fill="auto"/>
            <w:vAlign w:val="center"/>
          </w:tcPr>
          <w:p w14:paraId="605403D4" w14:textId="77777777" w:rsidR="0072097E" w:rsidRPr="002D22C8" w:rsidRDefault="00000000">
            <w:pPr>
              <w:widowControl w:val="0"/>
              <w:spacing w:line="360" w:lineRule="auto"/>
              <w:jc w:val="right"/>
              <w:rPr>
                <w:color w:val="000000"/>
              </w:rPr>
            </w:pPr>
            <w:r w:rsidRPr="002D22C8">
              <w:rPr>
                <w:color w:val="000000"/>
              </w:rPr>
              <w:t>30,360,000</w:t>
            </w:r>
          </w:p>
        </w:tc>
        <w:tc>
          <w:tcPr>
            <w:tcW w:w="849" w:type="dxa"/>
            <w:shd w:val="clear" w:color="auto" w:fill="auto"/>
            <w:vAlign w:val="center"/>
          </w:tcPr>
          <w:p w14:paraId="1223D15B" w14:textId="77777777" w:rsidR="0072097E" w:rsidRPr="002D22C8" w:rsidRDefault="00000000">
            <w:pPr>
              <w:widowControl w:val="0"/>
              <w:spacing w:line="360" w:lineRule="auto"/>
              <w:jc w:val="right"/>
              <w:rPr>
                <w:color w:val="000000"/>
              </w:rPr>
            </w:pPr>
            <w:r w:rsidRPr="002D22C8">
              <w:rPr>
                <w:color w:val="000000"/>
              </w:rPr>
              <w:t>1.8%</w:t>
            </w:r>
          </w:p>
        </w:tc>
        <w:tc>
          <w:tcPr>
            <w:tcW w:w="1276" w:type="dxa"/>
            <w:shd w:val="clear" w:color="auto" w:fill="auto"/>
            <w:vAlign w:val="center"/>
          </w:tcPr>
          <w:p w14:paraId="032354C6" w14:textId="77777777" w:rsidR="0072097E" w:rsidRPr="002D22C8" w:rsidRDefault="00000000">
            <w:pPr>
              <w:widowControl w:val="0"/>
              <w:spacing w:line="360" w:lineRule="auto"/>
              <w:jc w:val="right"/>
              <w:rPr>
                <w:color w:val="000000"/>
              </w:rPr>
            </w:pPr>
            <w:r w:rsidRPr="002D22C8">
              <w:rPr>
                <w:color w:val="000000"/>
              </w:rPr>
              <w:t>483,475,032</w:t>
            </w:r>
          </w:p>
        </w:tc>
        <w:tc>
          <w:tcPr>
            <w:tcW w:w="852" w:type="dxa"/>
            <w:gridSpan w:val="2"/>
            <w:shd w:val="clear" w:color="auto" w:fill="auto"/>
            <w:vAlign w:val="center"/>
          </w:tcPr>
          <w:p w14:paraId="7D77D2B1" w14:textId="77777777" w:rsidR="0072097E" w:rsidRPr="002D22C8" w:rsidRDefault="00000000">
            <w:pPr>
              <w:widowControl w:val="0"/>
              <w:spacing w:line="360" w:lineRule="auto"/>
              <w:jc w:val="right"/>
              <w:rPr>
                <w:color w:val="000000"/>
              </w:rPr>
            </w:pPr>
            <w:r w:rsidRPr="002D22C8">
              <w:rPr>
                <w:color w:val="000000"/>
              </w:rPr>
              <w:t>10.4%</w:t>
            </w:r>
          </w:p>
        </w:tc>
        <w:tc>
          <w:tcPr>
            <w:tcW w:w="849" w:type="dxa"/>
            <w:shd w:val="clear" w:color="auto" w:fill="auto"/>
            <w:vAlign w:val="center"/>
          </w:tcPr>
          <w:p w14:paraId="78DADB4B" w14:textId="77777777" w:rsidR="0072097E" w:rsidRPr="002D22C8" w:rsidRDefault="00000000">
            <w:pPr>
              <w:widowControl w:val="0"/>
              <w:spacing w:line="360" w:lineRule="auto"/>
              <w:jc w:val="right"/>
              <w:rPr>
                <w:color w:val="000000"/>
              </w:rPr>
            </w:pPr>
            <w:r w:rsidRPr="002D22C8">
              <w:rPr>
                <w:color w:val="000000"/>
              </w:rPr>
              <w:t>506</w:t>
            </w:r>
          </w:p>
        </w:tc>
        <w:tc>
          <w:tcPr>
            <w:tcW w:w="993" w:type="dxa"/>
            <w:shd w:val="clear" w:color="auto" w:fill="auto"/>
            <w:vAlign w:val="center"/>
          </w:tcPr>
          <w:p w14:paraId="7F1BBAE9" w14:textId="77777777" w:rsidR="0072097E" w:rsidRPr="002D22C8" w:rsidRDefault="00000000">
            <w:pPr>
              <w:widowControl w:val="0"/>
              <w:spacing w:line="360" w:lineRule="auto"/>
              <w:jc w:val="right"/>
              <w:rPr>
                <w:color w:val="000000"/>
              </w:rPr>
            </w:pPr>
            <w:r w:rsidRPr="002D22C8">
              <w:rPr>
                <w:color w:val="000000"/>
              </w:rPr>
              <w:t>0.1%</w:t>
            </w:r>
          </w:p>
        </w:tc>
        <w:tc>
          <w:tcPr>
            <w:tcW w:w="992" w:type="dxa"/>
            <w:shd w:val="clear" w:color="auto" w:fill="auto"/>
            <w:vAlign w:val="center"/>
          </w:tcPr>
          <w:p w14:paraId="65DE87C9" w14:textId="77777777" w:rsidR="0072097E" w:rsidRPr="002D22C8" w:rsidRDefault="00000000">
            <w:pPr>
              <w:widowControl w:val="0"/>
              <w:spacing w:line="360" w:lineRule="auto"/>
              <w:jc w:val="right"/>
              <w:rPr>
                <w:color w:val="000000"/>
              </w:rPr>
            </w:pPr>
            <w:r w:rsidRPr="002D22C8">
              <w:rPr>
                <w:color w:val="000000"/>
              </w:rPr>
              <w:t>36,627,397</w:t>
            </w:r>
          </w:p>
        </w:tc>
        <w:tc>
          <w:tcPr>
            <w:tcW w:w="850" w:type="dxa"/>
            <w:shd w:val="clear" w:color="auto" w:fill="auto"/>
            <w:vAlign w:val="center"/>
          </w:tcPr>
          <w:p w14:paraId="250C0FB3" w14:textId="77777777" w:rsidR="0072097E" w:rsidRPr="002D22C8" w:rsidRDefault="00000000">
            <w:pPr>
              <w:widowControl w:val="0"/>
              <w:spacing w:line="360" w:lineRule="auto"/>
              <w:jc w:val="right"/>
              <w:rPr>
                <w:color w:val="000000"/>
              </w:rPr>
            </w:pPr>
            <w:r w:rsidRPr="002D22C8">
              <w:rPr>
                <w:color w:val="000000"/>
              </w:rPr>
              <w:t>17.8%</w:t>
            </w:r>
          </w:p>
        </w:tc>
      </w:tr>
      <w:tr w:rsidR="0072097E" w:rsidRPr="002D22C8" w14:paraId="210F666F" w14:textId="77777777" w:rsidTr="002D22C8">
        <w:trPr>
          <w:trHeight w:val="184"/>
        </w:trPr>
        <w:tc>
          <w:tcPr>
            <w:tcW w:w="1418" w:type="dxa"/>
            <w:shd w:val="clear" w:color="auto" w:fill="auto"/>
            <w:vAlign w:val="center"/>
          </w:tcPr>
          <w:p w14:paraId="07B65B56" w14:textId="77777777" w:rsidR="0072097E" w:rsidRPr="002D22C8" w:rsidRDefault="00000000">
            <w:pPr>
              <w:widowControl w:val="0"/>
              <w:spacing w:line="360" w:lineRule="auto"/>
              <w:rPr>
                <w:color w:val="000000"/>
              </w:rPr>
            </w:pPr>
            <w:r w:rsidRPr="002D22C8">
              <w:rPr>
                <w:color w:val="000000"/>
              </w:rPr>
              <w:t>Gran Industrial</w:t>
            </w:r>
          </w:p>
        </w:tc>
        <w:tc>
          <w:tcPr>
            <w:tcW w:w="1134" w:type="dxa"/>
            <w:shd w:val="clear" w:color="auto" w:fill="auto"/>
            <w:vAlign w:val="center"/>
          </w:tcPr>
          <w:p w14:paraId="79DAAEEE" w14:textId="77777777" w:rsidR="0072097E" w:rsidRPr="002D22C8" w:rsidRDefault="00000000">
            <w:pPr>
              <w:widowControl w:val="0"/>
              <w:spacing w:line="360" w:lineRule="auto"/>
              <w:jc w:val="right"/>
              <w:rPr>
                <w:color w:val="000000"/>
              </w:rPr>
            </w:pPr>
            <w:r w:rsidRPr="002D22C8">
              <w:rPr>
                <w:color w:val="000000"/>
              </w:rPr>
              <w:t>21,600,000</w:t>
            </w:r>
          </w:p>
        </w:tc>
        <w:tc>
          <w:tcPr>
            <w:tcW w:w="849" w:type="dxa"/>
            <w:shd w:val="clear" w:color="auto" w:fill="auto"/>
            <w:vAlign w:val="center"/>
          </w:tcPr>
          <w:p w14:paraId="5575E59C" w14:textId="77777777" w:rsidR="0072097E" w:rsidRPr="002D22C8" w:rsidRDefault="00000000">
            <w:pPr>
              <w:widowControl w:val="0"/>
              <w:spacing w:line="360" w:lineRule="auto"/>
              <w:jc w:val="right"/>
              <w:rPr>
                <w:color w:val="000000"/>
              </w:rPr>
            </w:pPr>
            <w:r w:rsidRPr="002D22C8">
              <w:rPr>
                <w:color w:val="000000"/>
              </w:rPr>
              <w:t>1.3%</w:t>
            </w:r>
          </w:p>
        </w:tc>
        <w:tc>
          <w:tcPr>
            <w:tcW w:w="1276" w:type="dxa"/>
            <w:shd w:val="clear" w:color="auto" w:fill="auto"/>
            <w:vAlign w:val="center"/>
          </w:tcPr>
          <w:p w14:paraId="26F662F9" w14:textId="77777777" w:rsidR="0072097E" w:rsidRPr="002D22C8" w:rsidRDefault="00000000">
            <w:pPr>
              <w:widowControl w:val="0"/>
              <w:spacing w:line="360" w:lineRule="auto"/>
              <w:jc w:val="right"/>
              <w:rPr>
                <w:color w:val="000000"/>
              </w:rPr>
            </w:pPr>
            <w:r w:rsidRPr="002D22C8">
              <w:rPr>
                <w:color w:val="000000"/>
              </w:rPr>
              <w:t>1,058,195,206</w:t>
            </w:r>
          </w:p>
        </w:tc>
        <w:tc>
          <w:tcPr>
            <w:tcW w:w="852" w:type="dxa"/>
            <w:gridSpan w:val="2"/>
            <w:shd w:val="clear" w:color="auto" w:fill="auto"/>
            <w:vAlign w:val="center"/>
          </w:tcPr>
          <w:p w14:paraId="553FA101" w14:textId="77777777" w:rsidR="0072097E" w:rsidRPr="002D22C8" w:rsidRDefault="00000000">
            <w:pPr>
              <w:widowControl w:val="0"/>
              <w:spacing w:line="360" w:lineRule="auto"/>
              <w:jc w:val="right"/>
              <w:rPr>
                <w:color w:val="000000"/>
              </w:rPr>
            </w:pPr>
            <w:r w:rsidRPr="002D22C8">
              <w:rPr>
                <w:color w:val="000000"/>
              </w:rPr>
              <w:t>22.8%</w:t>
            </w:r>
          </w:p>
        </w:tc>
        <w:tc>
          <w:tcPr>
            <w:tcW w:w="849" w:type="dxa"/>
            <w:shd w:val="clear" w:color="auto" w:fill="auto"/>
            <w:vAlign w:val="center"/>
          </w:tcPr>
          <w:p w14:paraId="05108633" w14:textId="77777777" w:rsidR="0072097E" w:rsidRPr="002D22C8" w:rsidRDefault="00000000">
            <w:pPr>
              <w:widowControl w:val="0"/>
              <w:spacing w:line="360" w:lineRule="auto"/>
              <w:jc w:val="right"/>
              <w:rPr>
                <w:color w:val="000000"/>
              </w:rPr>
            </w:pPr>
            <w:r w:rsidRPr="002D22C8">
              <w:rPr>
                <w:color w:val="000000"/>
              </w:rPr>
              <w:t>72</w:t>
            </w:r>
          </w:p>
        </w:tc>
        <w:tc>
          <w:tcPr>
            <w:tcW w:w="993" w:type="dxa"/>
            <w:shd w:val="clear" w:color="auto" w:fill="auto"/>
            <w:vAlign w:val="center"/>
          </w:tcPr>
          <w:p w14:paraId="65F8F60B" w14:textId="77777777" w:rsidR="0072097E" w:rsidRPr="002D22C8" w:rsidRDefault="00000000">
            <w:pPr>
              <w:widowControl w:val="0"/>
              <w:spacing w:line="360" w:lineRule="auto"/>
              <w:jc w:val="right"/>
              <w:rPr>
                <w:color w:val="000000"/>
              </w:rPr>
            </w:pPr>
            <w:r w:rsidRPr="002D22C8">
              <w:rPr>
                <w:color w:val="000000"/>
              </w:rPr>
              <w:t>0.0%</w:t>
            </w:r>
          </w:p>
        </w:tc>
        <w:tc>
          <w:tcPr>
            <w:tcW w:w="992" w:type="dxa"/>
            <w:shd w:val="clear" w:color="auto" w:fill="auto"/>
            <w:vAlign w:val="center"/>
          </w:tcPr>
          <w:p w14:paraId="1B03E196" w14:textId="77777777" w:rsidR="0072097E" w:rsidRPr="002D22C8" w:rsidRDefault="00000000">
            <w:pPr>
              <w:widowControl w:val="0"/>
              <w:spacing w:line="360" w:lineRule="auto"/>
              <w:jc w:val="right"/>
              <w:rPr>
                <w:color w:val="000000"/>
              </w:rPr>
            </w:pPr>
            <w:r w:rsidRPr="002D22C8">
              <w:rPr>
                <w:color w:val="000000"/>
              </w:rPr>
              <w:t>77,191,303</w:t>
            </w:r>
          </w:p>
        </w:tc>
        <w:tc>
          <w:tcPr>
            <w:tcW w:w="850" w:type="dxa"/>
            <w:shd w:val="clear" w:color="auto" w:fill="auto"/>
            <w:vAlign w:val="center"/>
          </w:tcPr>
          <w:p w14:paraId="7EF1E5F2" w14:textId="77777777" w:rsidR="0072097E" w:rsidRPr="002D22C8" w:rsidRDefault="00000000">
            <w:pPr>
              <w:widowControl w:val="0"/>
              <w:spacing w:line="360" w:lineRule="auto"/>
              <w:jc w:val="right"/>
              <w:rPr>
                <w:color w:val="000000"/>
              </w:rPr>
            </w:pPr>
            <w:r w:rsidRPr="002D22C8">
              <w:rPr>
                <w:color w:val="000000"/>
              </w:rPr>
              <w:t>37.6%</w:t>
            </w:r>
          </w:p>
        </w:tc>
      </w:tr>
      <w:tr w:rsidR="0072097E" w:rsidRPr="002D22C8" w14:paraId="3481756A" w14:textId="77777777" w:rsidTr="002D22C8">
        <w:trPr>
          <w:trHeight w:val="116"/>
        </w:trPr>
        <w:tc>
          <w:tcPr>
            <w:tcW w:w="1418" w:type="dxa"/>
            <w:shd w:val="clear" w:color="auto" w:fill="auto"/>
            <w:vAlign w:val="center"/>
          </w:tcPr>
          <w:p w14:paraId="66D96AFE" w14:textId="77777777" w:rsidR="0072097E" w:rsidRPr="002D22C8" w:rsidRDefault="00000000">
            <w:pPr>
              <w:widowControl w:val="0"/>
              <w:spacing w:line="360" w:lineRule="auto"/>
              <w:rPr>
                <w:color w:val="000000"/>
              </w:rPr>
            </w:pPr>
            <w:r w:rsidRPr="002D22C8">
              <w:rPr>
                <w:color w:val="000000"/>
              </w:rPr>
              <w:t>GU1</w:t>
            </w:r>
          </w:p>
        </w:tc>
        <w:tc>
          <w:tcPr>
            <w:tcW w:w="1134" w:type="dxa"/>
            <w:shd w:val="clear" w:color="auto" w:fill="auto"/>
            <w:vAlign w:val="center"/>
          </w:tcPr>
          <w:p w14:paraId="3DEA74BB" w14:textId="77777777" w:rsidR="0072097E" w:rsidRPr="002D22C8" w:rsidRDefault="00000000">
            <w:pPr>
              <w:widowControl w:val="0"/>
              <w:spacing w:line="360" w:lineRule="auto"/>
              <w:jc w:val="right"/>
              <w:rPr>
                <w:color w:val="000000"/>
              </w:rPr>
            </w:pPr>
            <w:r w:rsidRPr="002D22C8">
              <w:rPr>
                <w:color w:val="000000"/>
              </w:rPr>
              <w:t>600,000</w:t>
            </w:r>
          </w:p>
        </w:tc>
        <w:tc>
          <w:tcPr>
            <w:tcW w:w="849" w:type="dxa"/>
            <w:shd w:val="clear" w:color="auto" w:fill="auto"/>
            <w:vAlign w:val="center"/>
          </w:tcPr>
          <w:p w14:paraId="668CF755" w14:textId="77777777" w:rsidR="0072097E" w:rsidRPr="002D22C8" w:rsidRDefault="00000000">
            <w:pPr>
              <w:widowControl w:val="0"/>
              <w:spacing w:line="360" w:lineRule="auto"/>
              <w:jc w:val="right"/>
              <w:rPr>
                <w:color w:val="000000"/>
              </w:rPr>
            </w:pPr>
            <w:r w:rsidRPr="002D22C8">
              <w:rPr>
                <w:color w:val="000000"/>
              </w:rPr>
              <w:t>0.04%</w:t>
            </w:r>
          </w:p>
        </w:tc>
        <w:tc>
          <w:tcPr>
            <w:tcW w:w="1276" w:type="dxa"/>
            <w:shd w:val="clear" w:color="auto" w:fill="auto"/>
            <w:vAlign w:val="center"/>
          </w:tcPr>
          <w:p w14:paraId="48F96A12" w14:textId="77777777" w:rsidR="0072097E" w:rsidRPr="002D22C8" w:rsidRDefault="00000000">
            <w:pPr>
              <w:widowControl w:val="0"/>
              <w:spacing w:line="360" w:lineRule="auto"/>
              <w:jc w:val="right"/>
              <w:rPr>
                <w:color w:val="000000"/>
              </w:rPr>
            </w:pPr>
            <w:r w:rsidRPr="002D22C8">
              <w:rPr>
                <w:color w:val="000000"/>
              </w:rPr>
              <w:t>39,326,943</w:t>
            </w:r>
          </w:p>
        </w:tc>
        <w:tc>
          <w:tcPr>
            <w:tcW w:w="852" w:type="dxa"/>
            <w:gridSpan w:val="2"/>
            <w:shd w:val="clear" w:color="auto" w:fill="auto"/>
            <w:vAlign w:val="center"/>
          </w:tcPr>
          <w:p w14:paraId="2367077D" w14:textId="77777777" w:rsidR="0072097E" w:rsidRPr="002D22C8" w:rsidRDefault="00000000">
            <w:pPr>
              <w:widowControl w:val="0"/>
              <w:spacing w:line="360" w:lineRule="auto"/>
              <w:jc w:val="right"/>
              <w:rPr>
                <w:color w:val="000000"/>
              </w:rPr>
            </w:pPr>
            <w:r w:rsidRPr="002D22C8">
              <w:rPr>
                <w:color w:val="000000"/>
              </w:rPr>
              <w:t>0.8%</w:t>
            </w:r>
          </w:p>
        </w:tc>
        <w:tc>
          <w:tcPr>
            <w:tcW w:w="849" w:type="dxa"/>
            <w:shd w:val="clear" w:color="auto" w:fill="auto"/>
            <w:vAlign w:val="center"/>
          </w:tcPr>
          <w:p w14:paraId="4296FCCF" w14:textId="77777777" w:rsidR="0072097E" w:rsidRPr="002D22C8" w:rsidRDefault="00000000">
            <w:pPr>
              <w:widowControl w:val="0"/>
              <w:spacing w:line="360" w:lineRule="auto"/>
              <w:jc w:val="right"/>
              <w:rPr>
                <w:color w:val="000000"/>
              </w:rPr>
            </w:pPr>
            <w:r w:rsidRPr="002D22C8">
              <w:rPr>
                <w:color w:val="000000"/>
              </w:rPr>
              <w:t>1</w:t>
            </w:r>
          </w:p>
        </w:tc>
        <w:tc>
          <w:tcPr>
            <w:tcW w:w="993" w:type="dxa"/>
            <w:shd w:val="clear" w:color="auto" w:fill="auto"/>
            <w:vAlign w:val="center"/>
          </w:tcPr>
          <w:p w14:paraId="356D6618" w14:textId="77777777" w:rsidR="0072097E" w:rsidRPr="002D22C8" w:rsidRDefault="00000000">
            <w:pPr>
              <w:widowControl w:val="0"/>
              <w:spacing w:line="360" w:lineRule="auto"/>
              <w:jc w:val="right"/>
              <w:rPr>
                <w:color w:val="000000"/>
              </w:rPr>
            </w:pPr>
            <w:r w:rsidRPr="002D22C8">
              <w:rPr>
                <w:color w:val="000000"/>
              </w:rPr>
              <w:t>0.0%</w:t>
            </w:r>
          </w:p>
        </w:tc>
        <w:tc>
          <w:tcPr>
            <w:tcW w:w="992" w:type="dxa"/>
            <w:shd w:val="clear" w:color="auto" w:fill="auto"/>
            <w:vAlign w:val="center"/>
          </w:tcPr>
          <w:p w14:paraId="40F278D7" w14:textId="77777777" w:rsidR="0072097E" w:rsidRPr="002D22C8" w:rsidRDefault="00000000">
            <w:pPr>
              <w:widowControl w:val="0"/>
              <w:spacing w:line="360" w:lineRule="auto"/>
              <w:jc w:val="right"/>
              <w:rPr>
                <w:color w:val="000000"/>
              </w:rPr>
            </w:pPr>
            <w:r w:rsidRPr="002D22C8">
              <w:rPr>
                <w:color w:val="000000"/>
              </w:rPr>
              <w:t>55,949,557</w:t>
            </w:r>
          </w:p>
        </w:tc>
        <w:tc>
          <w:tcPr>
            <w:tcW w:w="850" w:type="dxa"/>
            <w:shd w:val="clear" w:color="auto" w:fill="auto"/>
            <w:vAlign w:val="center"/>
          </w:tcPr>
          <w:p w14:paraId="3112ACF1" w14:textId="77777777" w:rsidR="0072097E" w:rsidRPr="002D22C8" w:rsidRDefault="00000000">
            <w:pPr>
              <w:widowControl w:val="0"/>
              <w:spacing w:line="360" w:lineRule="auto"/>
              <w:jc w:val="right"/>
              <w:rPr>
                <w:color w:val="000000"/>
              </w:rPr>
            </w:pPr>
            <w:r w:rsidRPr="002D22C8">
              <w:rPr>
                <w:color w:val="000000"/>
              </w:rPr>
              <w:t>27.3%</w:t>
            </w:r>
          </w:p>
        </w:tc>
      </w:tr>
      <w:tr w:rsidR="0072097E" w:rsidRPr="002D22C8" w14:paraId="680DEE17" w14:textId="77777777" w:rsidTr="002D22C8">
        <w:trPr>
          <w:trHeight w:val="190"/>
        </w:trPr>
        <w:tc>
          <w:tcPr>
            <w:tcW w:w="1418" w:type="dxa"/>
            <w:shd w:val="clear" w:color="auto" w:fill="auto"/>
            <w:vAlign w:val="center"/>
          </w:tcPr>
          <w:p w14:paraId="65823182" w14:textId="77777777" w:rsidR="0072097E" w:rsidRPr="002D22C8" w:rsidRDefault="00000000">
            <w:pPr>
              <w:widowControl w:val="0"/>
              <w:spacing w:line="360" w:lineRule="auto"/>
              <w:rPr>
                <w:color w:val="000000"/>
              </w:rPr>
            </w:pPr>
            <w:r w:rsidRPr="002D22C8">
              <w:rPr>
                <w:color w:val="000000"/>
              </w:rPr>
              <w:t>Total</w:t>
            </w:r>
          </w:p>
        </w:tc>
        <w:tc>
          <w:tcPr>
            <w:tcW w:w="1134" w:type="dxa"/>
            <w:shd w:val="clear" w:color="auto" w:fill="auto"/>
            <w:vAlign w:val="center"/>
          </w:tcPr>
          <w:p w14:paraId="4EB22570" w14:textId="77777777" w:rsidR="0072097E" w:rsidRPr="002D22C8" w:rsidRDefault="00000000">
            <w:pPr>
              <w:widowControl w:val="0"/>
              <w:spacing w:line="360" w:lineRule="auto"/>
              <w:jc w:val="right"/>
              <w:rPr>
                <w:color w:val="000000"/>
              </w:rPr>
            </w:pPr>
            <w:r w:rsidRPr="002D22C8">
              <w:rPr>
                <w:color w:val="000000"/>
              </w:rPr>
              <w:t>1,646,775,480</w:t>
            </w:r>
          </w:p>
        </w:tc>
        <w:tc>
          <w:tcPr>
            <w:tcW w:w="849" w:type="dxa"/>
            <w:shd w:val="clear" w:color="auto" w:fill="auto"/>
            <w:vAlign w:val="center"/>
          </w:tcPr>
          <w:p w14:paraId="23531208" w14:textId="77777777" w:rsidR="0072097E" w:rsidRPr="002D22C8" w:rsidRDefault="00000000">
            <w:pPr>
              <w:widowControl w:val="0"/>
              <w:spacing w:line="360" w:lineRule="auto"/>
              <w:jc w:val="right"/>
              <w:rPr>
                <w:color w:val="000000"/>
              </w:rPr>
            </w:pPr>
            <w:r w:rsidRPr="002D22C8">
              <w:rPr>
                <w:color w:val="000000"/>
              </w:rPr>
              <w:t>100%</w:t>
            </w:r>
          </w:p>
        </w:tc>
        <w:tc>
          <w:tcPr>
            <w:tcW w:w="1276" w:type="dxa"/>
            <w:shd w:val="clear" w:color="auto" w:fill="auto"/>
            <w:vAlign w:val="center"/>
          </w:tcPr>
          <w:p w14:paraId="44E7764D" w14:textId="77777777" w:rsidR="0072097E" w:rsidRPr="002D22C8" w:rsidRDefault="00000000">
            <w:pPr>
              <w:widowControl w:val="0"/>
              <w:spacing w:line="360" w:lineRule="auto"/>
              <w:jc w:val="right"/>
              <w:rPr>
                <w:color w:val="000000"/>
              </w:rPr>
            </w:pPr>
            <w:r w:rsidRPr="002D22C8">
              <w:rPr>
                <w:color w:val="000000"/>
              </w:rPr>
              <w:t>4,639,170,941</w:t>
            </w:r>
          </w:p>
        </w:tc>
        <w:tc>
          <w:tcPr>
            <w:tcW w:w="852" w:type="dxa"/>
            <w:gridSpan w:val="2"/>
            <w:shd w:val="clear" w:color="auto" w:fill="auto"/>
            <w:vAlign w:val="center"/>
          </w:tcPr>
          <w:p w14:paraId="7EB2470E" w14:textId="77777777" w:rsidR="0072097E" w:rsidRPr="002D22C8" w:rsidRDefault="00000000">
            <w:pPr>
              <w:widowControl w:val="0"/>
              <w:spacing w:line="360" w:lineRule="auto"/>
              <w:jc w:val="right"/>
              <w:rPr>
                <w:color w:val="000000"/>
              </w:rPr>
            </w:pPr>
            <w:r w:rsidRPr="002D22C8">
              <w:rPr>
                <w:color w:val="000000"/>
              </w:rPr>
              <w:t>100%</w:t>
            </w:r>
          </w:p>
        </w:tc>
        <w:tc>
          <w:tcPr>
            <w:tcW w:w="849" w:type="dxa"/>
            <w:shd w:val="clear" w:color="auto" w:fill="auto"/>
            <w:vAlign w:val="center"/>
          </w:tcPr>
          <w:p w14:paraId="185CD12F" w14:textId="77777777" w:rsidR="0072097E" w:rsidRPr="002D22C8" w:rsidRDefault="00000000">
            <w:pPr>
              <w:widowControl w:val="0"/>
              <w:spacing w:line="360" w:lineRule="auto"/>
              <w:jc w:val="right"/>
              <w:rPr>
                <w:color w:val="000000"/>
              </w:rPr>
            </w:pPr>
            <w:r w:rsidRPr="002D22C8">
              <w:rPr>
                <w:color w:val="000000"/>
              </w:rPr>
              <w:t>622,575</w:t>
            </w:r>
          </w:p>
        </w:tc>
        <w:tc>
          <w:tcPr>
            <w:tcW w:w="993" w:type="dxa"/>
            <w:shd w:val="clear" w:color="auto" w:fill="auto"/>
            <w:vAlign w:val="center"/>
          </w:tcPr>
          <w:p w14:paraId="3BD1BD89" w14:textId="77777777" w:rsidR="0072097E" w:rsidRPr="002D22C8" w:rsidRDefault="00000000">
            <w:pPr>
              <w:widowControl w:val="0"/>
              <w:spacing w:line="360" w:lineRule="auto"/>
              <w:jc w:val="right"/>
              <w:rPr>
                <w:color w:val="000000"/>
              </w:rPr>
            </w:pPr>
            <w:r w:rsidRPr="002D22C8">
              <w:rPr>
                <w:color w:val="000000"/>
              </w:rPr>
              <w:t>100.0%</w:t>
            </w:r>
          </w:p>
        </w:tc>
        <w:tc>
          <w:tcPr>
            <w:tcW w:w="992" w:type="dxa"/>
            <w:shd w:val="clear" w:color="auto" w:fill="auto"/>
            <w:vAlign w:val="center"/>
          </w:tcPr>
          <w:p w14:paraId="7860F2DA" w14:textId="77777777" w:rsidR="0072097E" w:rsidRPr="002D22C8" w:rsidRDefault="00000000">
            <w:pPr>
              <w:widowControl w:val="0"/>
              <w:spacing w:line="360" w:lineRule="auto"/>
              <w:jc w:val="right"/>
              <w:rPr>
                <w:color w:val="000000"/>
              </w:rPr>
            </w:pPr>
            <w:r w:rsidRPr="002D22C8">
              <w:rPr>
                <w:color w:val="000000"/>
              </w:rPr>
              <w:t>205,250,985</w:t>
            </w:r>
          </w:p>
        </w:tc>
        <w:tc>
          <w:tcPr>
            <w:tcW w:w="850" w:type="dxa"/>
            <w:shd w:val="clear" w:color="auto" w:fill="auto"/>
            <w:vAlign w:val="center"/>
          </w:tcPr>
          <w:p w14:paraId="3A519D57" w14:textId="77777777" w:rsidR="0072097E" w:rsidRPr="002D22C8" w:rsidRDefault="00000000">
            <w:pPr>
              <w:widowControl w:val="0"/>
              <w:spacing w:line="360" w:lineRule="auto"/>
              <w:jc w:val="right"/>
              <w:rPr>
                <w:color w:val="000000"/>
              </w:rPr>
            </w:pPr>
            <w:r w:rsidRPr="002D22C8">
              <w:rPr>
                <w:color w:val="000000"/>
              </w:rPr>
              <w:t>100%</w:t>
            </w:r>
          </w:p>
        </w:tc>
      </w:tr>
    </w:tbl>
    <w:p w14:paraId="6D6E75F9" w14:textId="290A840E" w:rsidR="0072097E" w:rsidRDefault="00000000" w:rsidP="002D22C8">
      <w:pPr>
        <w:spacing w:line="360" w:lineRule="auto"/>
        <w:jc w:val="center"/>
        <w:rPr>
          <w:lang w:val="es-ES"/>
        </w:rPr>
      </w:pPr>
      <w:r w:rsidRPr="002D22C8">
        <w:rPr>
          <w:lang w:val="es-ES"/>
        </w:rPr>
        <w:t>Fuente: Cálculos propios con base en la Tabla 4 y CRE (2015, 2016)</w:t>
      </w:r>
    </w:p>
    <w:p w14:paraId="41B0CE5D" w14:textId="77777777" w:rsidR="0072097E" w:rsidRDefault="00000000">
      <w:pPr>
        <w:spacing w:line="360" w:lineRule="auto"/>
        <w:jc w:val="both"/>
        <w:rPr>
          <w:lang w:val="es-ES"/>
        </w:rPr>
      </w:pPr>
      <w:r>
        <w:rPr>
          <w:lang w:val="es-ES"/>
        </w:rPr>
        <w:tab/>
        <w:t xml:space="preserve">Los resultados presentados en la Tabla 8 muestran la estructura de costos implícita en los RI por cada grupo tarifario y resalta la carga desproporcionada hacia los usuarios residenciales, especialmente si observamos la diferencia entre el RI por distribución asignado a los usuarios residenciales (60.8%) y el asignado al usuario GU1 (0.8%). Los primeros consumen únicamente 14.6% de la energía y en contrapartida, GU1 consume el 27.3%. De </w:t>
      </w:r>
      <w:r>
        <w:rPr>
          <w:lang w:val="es-ES"/>
        </w:rPr>
        <w:lastRenderedPageBreak/>
        <w:t>la misma manera, puede observarse la proporción del RI por servicio asignado al grupo residencial: constituye el 94.0% del total de dicho cargo. Aquí cabe hacer notar que aproximadamente el 26% de los costos totales del sistema de la empresa (RI por servicio como porcentaje de RI por servicio + RI por distribución) corresponden al RI por servicio, es decir, costos fijos que deben recuperar en su casi totalidad los usuarios residenciales, los cuales, repitamos, solo consumen 14.6% de la energía.</w:t>
      </w:r>
    </w:p>
    <w:p w14:paraId="36E997D5" w14:textId="77777777" w:rsidR="0072097E" w:rsidRDefault="0072097E">
      <w:pPr>
        <w:spacing w:line="360" w:lineRule="auto"/>
        <w:jc w:val="both"/>
        <w:rPr>
          <w:lang w:val="es-ES"/>
        </w:rPr>
      </w:pPr>
    </w:p>
    <w:p w14:paraId="3A729C3F" w14:textId="77777777" w:rsidR="0072097E" w:rsidRDefault="00000000">
      <w:pPr>
        <w:spacing w:line="360" w:lineRule="auto"/>
        <w:jc w:val="center"/>
        <w:rPr>
          <w:b/>
          <w:bCs/>
        </w:rPr>
      </w:pPr>
      <w:r>
        <w:rPr>
          <w:b/>
          <w:bCs/>
        </w:rPr>
        <w:t xml:space="preserve">Tabla 9. </w:t>
      </w:r>
      <w:r>
        <w:t>Componentes del requerimiento de ingresos por año según costos directos e indirectos</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7"/>
        <w:gridCol w:w="940"/>
        <w:gridCol w:w="940"/>
        <w:gridCol w:w="1060"/>
        <w:gridCol w:w="1059"/>
        <w:gridCol w:w="1061"/>
        <w:gridCol w:w="1060"/>
        <w:gridCol w:w="553"/>
      </w:tblGrid>
      <w:tr w:rsidR="0072097E" w:rsidRPr="002D22C8" w14:paraId="626ACB06" w14:textId="77777777" w:rsidTr="002D22C8">
        <w:trPr>
          <w:trHeight w:val="280"/>
        </w:trPr>
        <w:tc>
          <w:tcPr>
            <w:tcW w:w="1856" w:type="dxa"/>
            <w:shd w:val="clear" w:color="auto" w:fill="auto"/>
            <w:vAlign w:val="center"/>
          </w:tcPr>
          <w:p w14:paraId="59E0FCDE" w14:textId="77777777" w:rsidR="0072097E" w:rsidRPr="002D22C8" w:rsidRDefault="00000000">
            <w:pPr>
              <w:widowControl w:val="0"/>
              <w:spacing w:line="360" w:lineRule="auto"/>
              <w:jc w:val="center"/>
              <w:rPr>
                <w:color w:val="000000"/>
              </w:rPr>
            </w:pPr>
            <w:r w:rsidRPr="002D22C8">
              <w:rPr>
                <w:color w:val="000000"/>
              </w:rPr>
              <w:t>Componente</w:t>
            </w:r>
          </w:p>
        </w:tc>
        <w:tc>
          <w:tcPr>
            <w:tcW w:w="940" w:type="dxa"/>
            <w:shd w:val="clear" w:color="auto" w:fill="auto"/>
            <w:vAlign w:val="center"/>
          </w:tcPr>
          <w:p w14:paraId="2751C4A4" w14:textId="77777777" w:rsidR="0072097E" w:rsidRPr="002D22C8" w:rsidRDefault="00000000">
            <w:pPr>
              <w:widowControl w:val="0"/>
              <w:spacing w:line="360" w:lineRule="auto"/>
              <w:jc w:val="center"/>
              <w:rPr>
                <w:color w:val="000000"/>
              </w:rPr>
            </w:pPr>
            <w:r w:rsidRPr="002D22C8">
              <w:rPr>
                <w:color w:val="000000"/>
              </w:rPr>
              <w:t>2016</w:t>
            </w:r>
          </w:p>
        </w:tc>
        <w:tc>
          <w:tcPr>
            <w:tcW w:w="940" w:type="dxa"/>
            <w:shd w:val="clear" w:color="auto" w:fill="auto"/>
            <w:vAlign w:val="center"/>
          </w:tcPr>
          <w:p w14:paraId="06F181F3" w14:textId="77777777" w:rsidR="0072097E" w:rsidRPr="002D22C8" w:rsidRDefault="00000000">
            <w:pPr>
              <w:widowControl w:val="0"/>
              <w:spacing w:line="360" w:lineRule="auto"/>
              <w:jc w:val="center"/>
              <w:rPr>
                <w:color w:val="000000"/>
              </w:rPr>
            </w:pPr>
            <w:r w:rsidRPr="002D22C8">
              <w:rPr>
                <w:color w:val="000000"/>
              </w:rPr>
              <w:t>2017</w:t>
            </w:r>
          </w:p>
        </w:tc>
        <w:tc>
          <w:tcPr>
            <w:tcW w:w="1060" w:type="dxa"/>
            <w:shd w:val="clear" w:color="auto" w:fill="auto"/>
            <w:vAlign w:val="center"/>
          </w:tcPr>
          <w:p w14:paraId="7A130DDB" w14:textId="77777777" w:rsidR="0072097E" w:rsidRPr="002D22C8" w:rsidRDefault="00000000">
            <w:pPr>
              <w:widowControl w:val="0"/>
              <w:spacing w:line="360" w:lineRule="auto"/>
              <w:jc w:val="center"/>
              <w:rPr>
                <w:color w:val="000000"/>
              </w:rPr>
            </w:pPr>
            <w:r w:rsidRPr="002D22C8">
              <w:rPr>
                <w:color w:val="000000"/>
              </w:rPr>
              <w:t>2018</w:t>
            </w:r>
          </w:p>
        </w:tc>
        <w:tc>
          <w:tcPr>
            <w:tcW w:w="1059" w:type="dxa"/>
            <w:shd w:val="clear" w:color="auto" w:fill="auto"/>
            <w:vAlign w:val="center"/>
          </w:tcPr>
          <w:p w14:paraId="48078ECF" w14:textId="77777777" w:rsidR="0072097E" w:rsidRPr="002D22C8" w:rsidRDefault="00000000">
            <w:pPr>
              <w:widowControl w:val="0"/>
              <w:spacing w:line="360" w:lineRule="auto"/>
              <w:jc w:val="center"/>
              <w:rPr>
                <w:color w:val="000000"/>
              </w:rPr>
            </w:pPr>
            <w:r w:rsidRPr="002D22C8">
              <w:rPr>
                <w:color w:val="000000"/>
              </w:rPr>
              <w:t>2019</w:t>
            </w:r>
          </w:p>
        </w:tc>
        <w:tc>
          <w:tcPr>
            <w:tcW w:w="1061" w:type="dxa"/>
            <w:shd w:val="clear" w:color="auto" w:fill="auto"/>
            <w:vAlign w:val="center"/>
          </w:tcPr>
          <w:p w14:paraId="64FE659A" w14:textId="77777777" w:rsidR="0072097E" w:rsidRPr="002D22C8" w:rsidRDefault="00000000">
            <w:pPr>
              <w:widowControl w:val="0"/>
              <w:spacing w:line="360" w:lineRule="auto"/>
              <w:jc w:val="center"/>
              <w:rPr>
                <w:color w:val="000000"/>
              </w:rPr>
            </w:pPr>
            <w:r w:rsidRPr="002D22C8">
              <w:rPr>
                <w:color w:val="000000"/>
              </w:rPr>
              <w:t>2020</w:t>
            </w:r>
          </w:p>
        </w:tc>
        <w:tc>
          <w:tcPr>
            <w:tcW w:w="1060" w:type="dxa"/>
            <w:shd w:val="clear" w:color="auto" w:fill="auto"/>
            <w:vAlign w:val="center"/>
          </w:tcPr>
          <w:p w14:paraId="0E8CACF3" w14:textId="77777777" w:rsidR="0072097E" w:rsidRPr="002D22C8" w:rsidRDefault="00000000">
            <w:pPr>
              <w:widowControl w:val="0"/>
              <w:spacing w:line="360" w:lineRule="auto"/>
              <w:jc w:val="center"/>
              <w:rPr>
                <w:color w:val="000000"/>
              </w:rPr>
            </w:pPr>
            <w:r w:rsidRPr="002D22C8">
              <w:rPr>
                <w:color w:val="000000"/>
              </w:rPr>
              <w:t>Quinquenio</w:t>
            </w:r>
          </w:p>
        </w:tc>
        <w:tc>
          <w:tcPr>
            <w:tcW w:w="553" w:type="dxa"/>
            <w:shd w:val="clear" w:color="auto" w:fill="auto"/>
            <w:vAlign w:val="center"/>
          </w:tcPr>
          <w:p w14:paraId="45D39E40" w14:textId="77777777" w:rsidR="0072097E" w:rsidRPr="002D22C8" w:rsidRDefault="00000000">
            <w:pPr>
              <w:widowControl w:val="0"/>
              <w:spacing w:line="360" w:lineRule="auto"/>
              <w:jc w:val="center"/>
              <w:rPr>
                <w:color w:val="000000"/>
              </w:rPr>
            </w:pPr>
            <w:r w:rsidRPr="002D22C8">
              <w:rPr>
                <w:color w:val="000000"/>
              </w:rPr>
              <w:t>% RI</w:t>
            </w:r>
          </w:p>
        </w:tc>
      </w:tr>
      <w:tr w:rsidR="0072097E" w:rsidRPr="002D22C8" w14:paraId="2FCB02A8" w14:textId="77777777" w:rsidTr="002D22C8">
        <w:trPr>
          <w:trHeight w:val="280"/>
        </w:trPr>
        <w:tc>
          <w:tcPr>
            <w:tcW w:w="1856" w:type="dxa"/>
            <w:shd w:val="clear" w:color="auto" w:fill="auto"/>
            <w:vAlign w:val="center"/>
          </w:tcPr>
          <w:p w14:paraId="35FB93DA" w14:textId="77777777" w:rsidR="0072097E" w:rsidRPr="002D22C8" w:rsidRDefault="00000000">
            <w:pPr>
              <w:widowControl w:val="0"/>
              <w:spacing w:line="360" w:lineRule="auto"/>
              <w:rPr>
                <w:color w:val="000000"/>
              </w:rPr>
            </w:pPr>
            <w:r w:rsidRPr="002D22C8">
              <w:rPr>
                <w:color w:val="000000"/>
              </w:rPr>
              <w:t>Rentabilidad</w:t>
            </w:r>
          </w:p>
        </w:tc>
        <w:tc>
          <w:tcPr>
            <w:tcW w:w="940" w:type="dxa"/>
            <w:shd w:val="clear" w:color="auto" w:fill="auto"/>
            <w:vAlign w:val="center"/>
          </w:tcPr>
          <w:p w14:paraId="0F63D08A" w14:textId="77777777" w:rsidR="0072097E" w:rsidRPr="002D22C8" w:rsidRDefault="00000000">
            <w:pPr>
              <w:widowControl w:val="0"/>
              <w:spacing w:line="360" w:lineRule="auto"/>
              <w:jc w:val="right"/>
              <w:rPr>
                <w:color w:val="000000"/>
              </w:rPr>
            </w:pPr>
            <w:r w:rsidRPr="002D22C8">
              <w:rPr>
                <w:color w:val="000000"/>
              </w:rPr>
              <w:t>256,751,706</w:t>
            </w:r>
          </w:p>
        </w:tc>
        <w:tc>
          <w:tcPr>
            <w:tcW w:w="940" w:type="dxa"/>
            <w:shd w:val="clear" w:color="auto" w:fill="auto"/>
            <w:vAlign w:val="center"/>
          </w:tcPr>
          <w:p w14:paraId="0343F668" w14:textId="77777777" w:rsidR="0072097E" w:rsidRPr="002D22C8" w:rsidRDefault="00000000">
            <w:pPr>
              <w:widowControl w:val="0"/>
              <w:spacing w:line="360" w:lineRule="auto"/>
              <w:jc w:val="right"/>
              <w:rPr>
                <w:color w:val="000000"/>
              </w:rPr>
            </w:pPr>
            <w:r w:rsidRPr="002D22C8">
              <w:rPr>
                <w:color w:val="000000"/>
              </w:rPr>
              <w:t>308,396,049</w:t>
            </w:r>
          </w:p>
        </w:tc>
        <w:tc>
          <w:tcPr>
            <w:tcW w:w="1060" w:type="dxa"/>
            <w:shd w:val="clear" w:color="auto" w:fill="auto"/>
            <w:vAlign w:val="center"/>
          </w:tcPr>
          <w:p w14:paraId="6150B711" w14:textId="77777777" w:rsidR="0072097E" w:rsidRPr="002D22C8" w:rsidRDefault="00000000">
            <w:pPr>
              <w:widowControl w:val="0"/>
              <w:spacing w:line="360" w:lineRule="auto"/>
              <w:jc w:val="right"/>
              <w:rPr>
                <w:color w:val="000000"/>
              </w:rPr>
            </w:pPr>
            <w:r w:rsidRPr="002D22C8">
              <w:rPr>
                <w:color w:val="000000"/>
              </w:rPr>
              <w:t>368,899,878</w:t>
            </w:r>
          </w:p>
        </w:tc>
        <w:tc>
          <w:tcPr>
            <w:tcW w:w="1059" w:type="dxa"/>
            <w:shd w:val="clear" w:color="auto" w:fill="auto"/>
            <w:vAlign w:val="center"/>
          </w:tcPr>
          <w:p w14:paraId="708BE55C" w14:textId="77777777" w:rsidR="0072097E" w:rsidRPr="002D22C8" w:rsidRDefault="00000000">
            <w:pPr>
              <w:widowControl w:val="0"/>
              <w:spacing w:line="360" w:lineRule="auto"/>
              <w:jc w:val="right"/>
              <w:rPr>
                <w:color w:val="000000"/>
              </w:rPr>
            </w:pPr>
            <w:r w:rsidRPr="002D22C8">
              <w:rPr>
                <w:color w:val="000000"/>
              </w:rPr>
              <w:t>445,744,215</w:t>
            </w:r>
          </w:p>
        </w:tc>
        <w:tc>
          <w:tcPr>
            <w:tcW w:w="1061" w:type="dxa"/>
            <w:shd w:val="clear" w:color="auto" w:fill="auto"/>
            <w:vAlign w:val="center"/>
          </w:tcPr>
          <w:p w14:paraId="41EAF7A1" w14:textId="77777777" w:rsidR="0072097E" w:rsidRPr="002D22C8" w:rsidRDefault="00000000">
            <w:pPr>
              <w:widowControl w:val="0"/>
              <w:spacing w:line="360" w:lineRule="auto"/>
              <w:jc w:val="right"/>
              <w:rPr>
                <w:color w:val="000000"/>
              </w:rPr>
            </w:pPr>
            <w:r w:rsidRPr="002D22C8">
              <w:rPr>
                <w:color w:val="000000"/>
              </w:rPr>
              <w:t>511,867,848</w:t>
            </w:r>
          </w:p>
        </w:tc>
        <w:tc>
          <w:tcPr>
            <w:tcW w:w="1060" w:type="dxa"/>
            <w:shd w:val="clear" w:color="auto" w:fill="auto"/>
            <w:vAlign w:val="center"/>
          </w:tcPr>
          <w:p w14:paraId="6E2AA30B" w14:textId="77777777" w:rsidR="0072097E" w:rsidRPr="002D22C8" w:rsidRDefault="00000000">
            <w:pPr>
              <w:widowControl w:val="0"/>
              <w:spacing w:line="360" w:lineRule="auto"/>
              <w:jc w:val="right"/>
              <w:rPr>
                <w:color w:val="000000"/>
              </w:rPr>
            </w:pPr>
            <w:r w:rsidRPr="002D22C8">
              <w:rPr>
                <w:color w:val="000000"/>
              </w:rPr>
              <w:t>1,891,659,695</w:t>
            </w:r>
          </w:p>
        </w:tc>
        <w:tc>
          <w:tcPr>
            <w:tcW w:w="553" w:type="dxa"/>
            <w:shd w:val="clear" w:color="auto" w:fill="auto"/>
            <w:vAlign w:val="center"/>
          </w:tcPr>
          <w:p w14:paraId="74BDC8BD" w14:textId="77777777" w:rsidR="0072097E" w:rsidRPr="002D22C8" w:rsidRDefault="00000000">
            <w:pPr>
              <w:widowControl w:val="0"/>
              <w:spacing w:line="360" w:lineRule="auto"/>
              <w:jc w:val="right"/>
              <w:rPr>
                <w:color w:val="000000"/>
              </w:rPr>
            </w:pPr>
            <w:r w:rsidRPr="002D22C8">
              <w:rPr>
                <w:color w:val="000000"/>
              </w:rPr>
              <w:t>35.7%</w:t>
            </w:r>
          </w:p>
        </w:tc>
      </w:tr>
      <w:tr w:rsidR="0072097E" w:rsidRPr="002D22C8" w14:paraId="1D7B44BC" w14:textId="77777777" w:rsidTr="002D22C8">
        <w:trPr>
          <w:trHeight w:val="280"/>
        </w:trPr>
        <w:tc>
          <w:tcPr>
            <w:tcW w:w="1856" w:type="dxa"/>
            <w:shd w:val="clear" w:color="auto" w:fill="auto"/>
            <w:vAlign w:val="center"/>
          </w:tcPr>
          <w:p w14:paraId="1A31B496" w14:textId="77777777" w:rsidR="0072097E" w:rsidRPr="002D22C8" w:rsidRDefault="00000000">
            <w:pPr>
              <w:widowControl w:val="0"/>
              <w:spacing w:line="360" w:lineRule="auto"/>
              <w:rPr>
                <w:color w:val="000000"/>
              </w:rPr>
            </w:pPr>
            <w:r w:rsidRPr="002D22C8">
              <w:rPr>
                <w:color w:val="000000"/>
              </w:rPr>
              <w:t>Depreciación anual</w:t>
            </w:r>
          </w:p>
        </w:tc>
        <w:tc>
          <w:tcPr>
            <w:tcW w:w="940" w:type="dxa"/>
            <w:shd w:val="clear" w:color="auto" w:fill="auto"/>
            <w:vAlign w:val="center"/>
          </w:tcPr>
          <w:p w14:paraId="7FE991E4" w14:textId="77777777" w:rsidR="0072097E" w:rsidRPr="002D22C8" w:rsidRDefault="00000000">
            <w:pPr>
              <w:widowControl w:val="0"/>
              <w:spacing w:line="360" w:lineRule="auto"/>
              <w:jc w:val="right"/>
              <w:rPr>
                <w:color w:val="000000"/>
              </w:rPr>
            </w:pPr>
            <w:r w:rsidRPr="002D22C8">
              <w:rPr>
                <w:color w:val="000000"/>
              </w:rPr>
              <w:t>157,801,765</w:t>
            </w:r>
          </w:p>
        </w:tc>
        <w:tc>
          <w:tcPr>
            <w:tcW w:w="940" w:type="dxa"/>
            <w:shd w:val="clear" w:color="auto" w:fill="auto"/>
            <w:vAlign w:val="center"/>
          </w:tcPr>
          <w:p w14:paraId="3E8EC8E5" w14:textId="77777777" w:rsidR="0072097E" w:rsidRPr="002D22C8" w:rsidRDefault="00000000">
            <w:pPr>
              <w:widowControl w:val="0"/>
              <w:spacing w:line="360" w:lineRule="auto"/>
              <w:jc w:val="right"/>
              <w:rPr>
                <w:color w:val="000000"/>
              </w:rPr>
            </w:pPr>
            <w:r w:rsidRPr="002D22C8">
              <w:rPr>
                <w:color w:val="000000"/>
              </w:rPr>
              <w:t>192,454,118</w:t>
            </w:r>
          </w:p>
        </w:tc>
        <w:tc>
          <w:tcPr>
            <w:tcW w:w="1060" w:type="dxa"/>
            <w:shd w:val="clear" w:color="auto" w:fill="auto"/>
            <w:vAlign w:val="center"/>
          </w:tcPr>
          <w:p w14:paraId="06BDD6C8" w14:textId="77777777" w:rsidR="0072097E" w:rsidRPr="002D22C8" w:rsidRDefault="00000000">
            <w:pPr>
              <w:widowControl w:val="0"/>
              <w:spacing w:line="360" w:lineRule="auto"/>
              <w:jc w:val="right"/>
              <w:rPr>
                <w:color w:val="000000"/>
              </w:rPr>
            </w:pPr>
            <w:r w:rsidRPr="002D22C8">
              <w:rPr>
                <w:color w:val="000000"/>
              </w:rPr>
              <w:t>231,553,529</w:t>
            </w:r>
          </w:p>
        </w:tc>
        <w:tc>
          <w:tcPr>
            <w:tcW w:w="1059" w:type="dxa"/>
            <w:shd w:val="clear" w:color="auto" w:fill="auto"/>
            <w:vAlign w:val="center"/>
          </w:tcPr>
          <w:p w14:paraId="3BE5651D" w14:textId="77777777" w:rsidR="0072097E" w:rsidRPr="002D22C8" w:rsidRDefault="00000000">
            <w:pPr>
              <w:widowControl w:val="0"/>
              <w:spacing w:line="360" w:lineRule="auto"/>
              <w:jc w:val="right"/>
              <w:rPr>
                <w:color w:val="000000"/>
              </w:rPr>
            </w:pPr>
            <w:r w:rsidRPr="002D22C8">
              <w:rPr>
                <w:color w:val="000000"/>
              </w:rPr>
              <w:t>277,822,941</w:t>
            </w:r>
          </w:p>
        </w:tc>
        <w:tc>
          <w:tcPr>
            <w:tcW w:w="1061" w:type="dxa"/>
            <w:shd w:val="clear" w:color="auto" w:fill="auto"/>
            <w:vAlign w:val="center"/>
          </w:tcPr>
          <w:p w14:paraId="6A64D4B0" w14:textId="77777777" w:rsidR="0072097E" w:rsidRPr="002D22C8" w:rsidRDefault="00000000">
            <w:pPr>
              <w:widowControl w:val="0"/>
              <w:spacing w:line="360" w:lineRule="auto"/>
              <w:jc w:val="right"/>
              <w:rPr>
                <w:color w:val="000000"/>
              </w:rPr>
            </w:pPr>
            <w:r w:rsidRPr="002D22C8">
              <w:rPr>
                <w:color w:val="000000"/>
              </w:rPr>
              <w:t>335,721,765</w:t>
            </w:r>
          </w:p>
        </w:tc>
        <w:tc>
          <w:tcPr>
            <w:tcW w:w="1060" w:type="dxa"/>
            <w:shd w:val="clear" w:color="auto" w:fill="auto"/>
            <w:vAlign w:val="center"/>
          </w:tcPr>
          <w:p w14:paraId="394044E5" w14:textId="77777777" w:rsidR="0072097E" w:rsidRPr="002D22C8" w:rsidRDefault="00000000">
            <w:pPr>
              <w:widowControl w:val="0"/>
              <w:spacing w:line="360" w:lineRule="auto"/>
              <w:jc w:val="right"/>
              <w:rPr>
                <w:color w:val="000000"/>
              </w:rPr>
            </w:pPr>
            <w:r w:rsidRPr="002D22C8">
              <w:rPr>
                <w:color w:val="000000"/>
              </w:rPr>
              <w:t>1,195,354,118</w:t>
            </w:r>
          </w:p>
        </w:tc>
        <w:tc>
          <w:tcPr>
            <w:tcW w:w="553" w:type="dxa"/>
            <w:shd w:val="clear" w:color="auto" w:fill="auto"/>
            <w:vAlign w:val="center"/>
          </w:tcPr>
          <w:p w14:paraId="719FE0AD" w14:textId="77777777" w:rsidR="0072097E" w:rsidRPr="002D22C8" w:rsidRDefault="00000000">
            <w:pPr>
              <w:widowControl w:val="0"/>
              <w:spacing w:line="360" w:lineRule="auto"/>
              <w:jc w:val="right"/>
              <w:rPr>
                <w:color w:val="000000"/>
              </w:rPr>
            </w:pPr>
            <w:r w:rsidRPr="002D22C8">
              <w:rPr>
                <w:color w:val="000000"/>
              </w:rPr>
              <w:t>22.5%</w:t>
            </w:r>
          </w:p>
        </w:tc>
      </w:tr>
      <w:tr w:rsidR="0072097E" w:rsidRPr="002D22C8" w14:paraId="0A1B1D88" w14:textId="77777777" w:rsidTr="002D22C8">
        <w:trPr>
          <w:trHeight w:val="280"/>
        </w:trPr>
        <w:tc>
          <w:tcPr>
            <w:tcW w:w="1856" w:type="dxa"/>
            <w:shd w:val="clear" w:color="auto" w:fill="auto"/>
            <w:vAlign w:val="center"/>
          </w:tcPr>
          <w:p w14:paraId="1D08ABC1" w14:textId="77777777" w:rsidR="0072097E" w:rsidRPr="002D22C8" w:rsidRDefault="00000000">
            <w:pPr>
              <w:widowControl w:val="0"/>
              <w:spacing w:line="360" w:lineRule="auto"/>
              <w:rPr>
                <w:color w:val="000000"/>
              </w:rPr>
            </w:pPr>
            <w:r w:rsidRPr="002D22C8">
              <w:rPr>
                <w:color w:val="000000"/>
              </w:rPr>
              <w:t>Costos OMAV</w:t>
            </w:r>
          </w:p>
        </w:tc>
        <w:tc>
          <w:tcPr>
            <w:tcW w:w="940" w:type="dxa"/>
            <w:shd w:val="clear" w:color="auto" w:fill="auto"/>
            <w:vAlign w:val="center"/>
          </w:tcPr>
          <w:p w14:paraId="70B1BB37" w14:textId="77777777" w:rsidR="0072097E" w:rsidRPr="002D22C8" w:rsidRDefault="00000000">
            <w:pPr>
              <w:widowControl w:val="0"/>
              <w:spacing w:line="360" w:lineRule="auto"/>
              <w:jc w:val="right"/>
              <w:rPr>
                <w:color w:val="000000"/>
              </w:rPr>
            </w:pPr>
            <w:r w:rsidRPr="002D22C8">
              <w:rPr>
                <w:color w:val="000000"/>
              </w:rPr>
              <w:t>203,611,117</w:t>
            </w:r>
          </w:p>
        </w:tc>
        <w:tc>
          <w:tcPr>
            <w:tcW w:w="940" w:type="dxa"/>
            <w:shd w:val="clear" w:color="auto" w:fill="auto"/>
            <w:vAlign w:val="center"/>
          </w:tcPr>
          <w:p w14:paraId="6D681E58" w14:textId="77777777" w:rsidR="0072097E" w:rsidRPr="002D22C8" w:rsidRDefault="00000000">
            <w:pPr>
              <w:widowControl w:val="0"/>
              <w:spacing w:line="360" w:lineRule="auto"/>
              <w:jc w:val="right"/>
              <w:rPr>
                <w:color w:val="000000"/>
              </w:rPr>
            </w:pPr>
            <w:r w:rsidRPr="002D22C8">
              <w:rPr>
                <w:color w:val="000000"/>
              </w:rPr>
              <w:t>246,550,966</w:t>
            </w:r>
          </w:p>
        </w:tc>
        <w:tc>
          <w:tcPr>
            <w:tcW w:w="1060" w:type="dxa"/>
            <w:shd w:val="clear" w:color="auto" w:fill="auto"/>
            <w:vAlign w:val="center"/>
          </w:tcPr>
          <w:p w14:paraId="4E610F6D" w14:textId="77777777" w:rsidR="0072097E" w:rsidRPr="002D22C8" w:rsidRDefault="00000000">
            <w:pPr>
              <w:widowControl w:val="0"/>
              <w:spacing w:line="360" w:lineRule="auto"/>
              <w:jc w:val="right"/>
              <w:rPr>
                <w:color w:val="000000"/>
              </w:rPr>
            </w:pPr>
            <w:r w:rsidRPr="002D22C8">
              <w:rPr>
                <w:color w:val="000000"/>
              </w:rPr>
              <w:t>282,621,541</w:t>
            </w:r>
          </w:p>
        </w:tc>
        <w:tc>
          <w:tcPr>
            <w:tcW w:w="1059" w:type="dxa"/>
            <w:shd w:val="clear" w:color="auto" w:fill="auto"/>
            <w:vAlign w:val="center"/>
          </w:tcPr>
          <w:p w14:paraId="7C99B35E" w14:textId="77777777" w:rsidR="0072097E" w:rsidRPr="002D22C8" w:rsidRDefault="00000000">
            <w:pPr>
              <w:widowControl w:val="0"/>
              <w:spacing w:line="360" w:lineRule="auto"/>
              <w:jc w:val="right"/>
              <w:rPr>
                <w:color w:val="000000"/>
              </w:rPr>
            </w:pPr>
            <w:r w:rsidRPr="002D22C8">
              <w:rPr>
                <w:color w:val="000000"/>
              </w:rPr>
              <w:t>316,174,667</w:t>
            </w:r>
          </w:p>
        </w:tc>
        <w:tc>
          <w:tcPr>
            <w:tcW w:w="1061" w:type="dxa"/>
            <w:shd w:val="clear" w:color="auto" w:fill="auto"/>
            <w:vAlign w:val="center"/>
          </w:tcPr>
          <w:p w14:paraId="2F831722" w14:textId="77777777" w:rsidR="0072097E" w:rsidRPr="002D22C8" w:rsidRDefault="00000000">
            <w:pPr>
              <w:widowControl w:val="0"/>
              <w:spacing w:line="360" w:lineRule="auto"/>
              <w:jc w:val="right"/>
              <w:rPr>
                <w:color w:val="000000"/>
              </w:rPr>
            </w:pPr>
            <w:r w:rsidRPr="002D22C8">
              <w:rPr>
                <w:color w:val="000000"/>
              </w:rPr>
              <w:t>354,723,580</w:t>
            </w:r>
          </w:p>
        </w:tc>
        <w:tc>
          <w:tcPr>
            <w:tcW w:w="1060" w:type="dxa"/>
            <w:shd w:val="clear" w:color="auto" w:fill="auto"/>
            <w:vAlign w:val="center"/>
          </w:tcPr>
          <w:p w14:paraId="531B421A" w14:textId="77777777" w:rsidR="0072097E" w:rsidRPr="002D22C8" w:rsidRDefault="00000000">
            <w:pPr>
              <w:widowControl w:val="0"/>
              <w:spacing w:line="360" w:lineRule="auto"/>
              <w:jc w:val="right"/>
              <w:rPr>
                <w:color w:val="000000"/>
              </w:rPr>
            </w:pPr>
            <w:r w:rsidRPr="002D22C8">
              <w:rPr>
                <w:color w:val="000000"/>
              </w:rPr>
              <w:t>1,403,681,871</w:t>
            </w:r>
          </w:p>
        </w:tc>
        <w:tc>
          <w:tcPr>
            <w:tcW w:w="553" w:type="dxa"/>
            <w:shd w:val="clear" w:color="auto" w:fill="auto"/>
            <w:vAlign w:val="center"/>
          </w:tcPr>
          <w:p w14:paraId="57C3B59D" w14:textId="77777777" w:rsidR="0072097E" w:rsidRPr="002D22C8" w:rsidRDefault="00000000">
            <w:pPr>
              <w:widowControl w:val="0"/>
              <w:spacing w:line="360" w:lineRule="auto"/>
              <w:jc w:val="right"/>
              <w:rPr>
                <w:color w:val="000000"/>
              </w:rPr>
            </w:pPr>
            <w:r w:rsidRPr="002D22C8">
              <w:rPr>
                <w:color w:val="000000"/>
              </w:rPr>
              <w:t>26.5%</w:t>
            </w:r>
          </w:p>
        </w:tc>
      </w:tr>
      <w:tr w:rsidR="0072097E" w:rsidRPr="002D22C8" w14:paraId="6DB3B1B1" w14:textId="77777777" w:rsidTr="002D22C8">
        <w:trPr>
          <w:trHeight w:val="280"/>
        </w:trPr>
        <w:tc>
          <w:tcPr>
            <w:tcW w:w="1856" w:type="dxa"/>
            <w:shd w:val="clear" w:color="auto" w:fill="auto"/>
            <w:vAlign w:val="center"/>
          </w:tcPr>
          <w:p w14:paraId="4D48A78C" w14:textId="77777777" w:rsidR="0072097E" w:rsidRPr="002D22C8" w:rsidRDefault="00000000">
            <w:pPr>
              <w:widowControl w:val="0"/>
              <w:spacing w:line="360" w:lineRule="auto"/>
              <w:rPr>
                <w:color w:val="000000"/>
              </w:rPr>
            </w:pPr>
            <w:r w:rsidRPr="002D22C8">
              <w:rPr>
                <w:color w:val="000000"/>
              </w:rPr>
              <w:t>Impuestos</w:t>
            </w:r>
          </w:p>
        </w:tc>
        <w:tc>
          <w:tcPr>
            <w:tcW w:w="940" w:type="dxa"/>
            <w:shd w:val="clear" w:color="auto" w:fill="auto"/>
            <w:vAlign w:val="center"/>
          </w:tcPr>
          <w:p w14:paraId="77508816" w14:textId="77777777" w:rsidR="0072097E" w:rsidRPr="002D22C8" w:rsidRDefault="00000000">
            <w:pPr>
              <w:widowControl w:val="0"/>
              <w:spacing w:line="360" w:lineRule="auto"/>
              <w:jc w:val="right"/>
              <w:rPr>
                <w:color w:val="000000"/>
              </w:rPr>
            </w:pPr>
            <w:r w:rsidRPr="002D22C8">
              <w:rPr>
                <w:color w:val="000000"/>
              </w:rPr>
              <w:t>110,036,445</w:t>
            </w:r>
          </w:p>
        </w:tc>
        <w:tc>
          <w:tcPr>
            <w:tcW w:w="940" w:type="dxa"/>
            <w:shd w:val="clear" w:color="auto" w:fill="auto"/>
            <w:vAlign w:val="center"/>
          </w:tcPr>
          <w:p w14:paraId="6781B936" w14:textId="77777777" w:rsidR="0072097E" w:rsidRPr="002D22C8" w:rsidRDefault="00000000">
            <w:pPr>
              <w:widowControl w:val="0"/>
              <w:spacing w:line="360" w:lineRule="auto"/>
              <w:jc w:val="right"/>
              <w:rPr>
                <w:color w:val="000000"/>
              </w:rPr>
            </w:pPr>
            <w:r w:rsidRPr="002D22C8">
              <w:rPr>
                <w:color w:val="000000"/>
              </w:rPr>
              <w:t>132,169,735</w:t>
            </w:r>
          </w:p>
        </w:tc>
        <w:tc>
          <w:tcPr>
            <w:tcW w:w="1060" w:type="dxa"/>
            <w:shd w:val="clear" w:color="auto" w:fill="auto"/>
            <w:vAlign w:val="center"/>
          </w:tcPr>
          <w:p w14:paraId="76AB4B51" w14:textId="77777777" w:rsidR="0072097E" w:rsidRPr="002D22C8" w:rsidRDefault="00000000">
            <w:pPr>
              <w:widowControl w:val="0"/>
              <w:spacing w:line="360" w:lineRule="auto"/>
              <w:jc w:val="right"/>
              <w:rPr>
                <w:color w:val="000000"/>
              </w:rPr>
            </w:pPr>
            <w:r w:rsidRPr="002D22C8">
              <w:rPr>
                <w:color w:val="000000"/>
              </w:rPr>
              <w:t>158,099,948</w:t>
            </w:r>
          </w:p>
        </w:tc>
        <w:tc>
          <w:tcPr>
            <w:tcW w:w="1059" w:type="dxa"/>
            <w:shd w:val="clear" w:color="auto" w:fill="auto"/>
            <w:vAlign w:val="center"/>
          </w:tcPr>
          <w:p w14:paraId="2475688D" w14:textId="77777777" w:rsidR="0072097E" w:rsidRPr="002D22C8" w:rsidRDefault="00000000">
            <w:pPr>
              <w:widowControl w:val="0"/>
              <w:spacing w:line="360" w:lineRule="auto"/>
              <w:jc w:val="right"/>
              <w:rPr>
                <w:color w:val="000000"/>
              </w:rPr>
            </w:pPr>
            <w:r w:rsidRPr="002D22C8">
              <w:rPr>
                <w:color w:val="000000"/>
              </w:rPr>
              <w:t>191,033,235</w:t>
            </w:r>
          </w:p>
        </w:tc>
        <w:tc>
          <w:tcPr>
            <w:tcW w:w="1061" w:type="dxa"/>
            <w:shd w:val="clear" w:color="auto" w:fill="auto"/>
            <w:vAlign w:val="center"/>
          </w:tcPr>
          <w:p w14:paraId="4738A218" w14:textId="77777777" w:rsidR="0072097E" w:rsidRPr="002D22C8" w:rsidRDefault="00000000">
            <w:pPr>
              <w:widowControl w:val="0"/>
              <w:spacing w:line="360" w:lineRule="auto"/>
              <w:jc w:val="right"/>
              <w:rPr>
                <w:color w:val="000000"/>
              </w:rPr>
            </w:pPr>
            <w:r w:rsidRPr="002D22C8">
              <w:rPr>
                <w:color w:val="000000"/>
              </w:rPr>
              <w:t>219,371,935</w:t>
            </w:r>
          </w:p>
        </w:tc>
        <w:tc>
          <w:tcPr>
            <w:tcW w:w="1060" w:type="dxa"/>
            <w:shd w:val="clear" w:color="auto" w:fill="auto"/>
            <w:vAlign w:val="center"/>
          </w:tcPr>
          <w:p w14:paraId="62AF4763" w14:textId="77777777" w:rsidR="0072097E" w:rsidRPr="002D22C8" w:rsidRDefault="00000000">
            <w:pPr>
              <w:widowControl w:val="0"/>
              <w:spacing w:line="360" w:lineRule="auto"/>
              <w:jc w:val="right"/>
              <w:rPr>
                <w:color w:val="000000"/>
              </w:rPr>
            </w:pPr>
            <w:r w:rsidRPr="002D22C8">
              <w:rPr>
                <w:color w:val="000000"/>
              </w:rPr>
              <w:t>810,711,298</w:t>
            </w:r>
          </w:p>
        </w:tc>
        <w:tc>
          <w:tcPr>
            <w:tcW w:w="553" w:type="dxa"/>
            <w:shd w:val="clear" w:color="auto" w:fill="auto"/>
            <w:vAlign w:val="center"/>
          </w:tcPr>
          <w:p w14:paraId="7952848B" w14:textId="77777777" w:rsidR="0072097E" w:rsidRPr="002D22C8" w:rsidRDefault="00000000">
            <w:pPr>
              <w:widowControl w:val="0"/>
              <w:spacing w:line="360" w:lineRule="auto"/>
              <w:jc w:val="right"/>
              <w:rPr>
                <w:color w:val="000000"/>
              </w:rPr>
            </w:pPr>
            <w:r w:rsidRPr="002D22C8">
              <w:rPr>
                <w:color w:val="000000"/>
              </w:rPr>
              <w:t>15.3%</w:t>
            </w:r>
          </w:p>
        </w:tc>
      </w:tr>
      <w:tr w:rsidR="0072097E" w:rsidRPr="002D22C8" w14:paraId="4B33DF43" w14:textId="77777777" w:rsidTr="002D22C8">
        <w:trPr>
          <w:trHeight w:val="280"/>
        </w:trPr>
        <w:tc>
          <w:tcPr>
            <w:tcW w:w="1856" w:type="dxa"/>
            <w:shd w:val="clear" w:color="auto" w:fill="auto"/>
            <w:vAlign w:val="center"/>
          </w:tcPr>
          <w:p w14:paraId="21B4D468" w14:textId="77777777" w:rsidR="0072097E" w:rsidRPr="002D22C8" w:rsidRDefault="00000000">
            <w:pPr>
              <w:widowControl w:val="0"/>
              <w:spacing w:line="360" w:lineRule="auto"/>
              <w:rPr>
                <w:color w:val="000000"/>
              </w:rPr>
            </w:pPr>
            <w:r w:rsidRPr="002D22C8">
              <w:rPr>
                <w:color w:val="000000"/>
              </w:rPr>
              <w:t>Requerimiento de ingresos</w:t>
            </w:r>
          </w:p>
        </w:tc>
        <w:tc>
          <w:tcPr>
            <w:tcW w:w="940" w:type="dxa"/>
            <w:shd w:val="clear" w:color="auto" w:fill="auto"/>
            <w:vAlign w:val="center"/>
          </w:tcPr>
          <w:p w14:paraId="31454C0F" w14:textId="77777777" w:rsidR="0072097E" w:rsidRPr="002D22C8" w:rsidRDefault="00000000">
            <w:pPr>
              <w:widowControl w:val="0"/>
              <w:spacing w:line="360" w:lineRule="auto"/>
              <w:jc w:val="right"/>
              <w:rPr>
                <w:color w:val="000000"/>
              </w:rPr>
            </w:pPr>
            <w:r w:rsidRPr="002D22C8">
              <w:rPr>
                <w:color w:val="000000"/>
              </w:rPr>
              <w:t>728,201,033</w:t>
            </w:r>
          </w:p>
        </w:tc>
        <w:tc>
          <w:tcPr>
            <w:tcW w:w="940" w:type="dxa"/>
            <w:shd w:val="clear" w:color="auto" w:fill="auto"/>
            <w:vAlign w:val="center"/>
          </w:tcPr>
          <w:p w14:paraId="4A83B0B8" w14:textId="77777777" w:rsidR="0072097E" w:rsidRPr="002D22C8" w:rsidRDefault="00000000">
            <w:pPr>
              <w:widowControl w:val="0"/>
              <w:spacing w:line="360" w:lineRule="auto"/>
              <w:jc w:val="right"/>
              <w:rPr>
                <w:color w:val="000000"/>
              </w:rPr>
            </w:pPr>
            <w:r w:rsidRPr="002D22C8">
              <w:rPr>
                <w:color w:val="000000"/>
              </w:rPr>
              <w:t>879,570,867</w:t>
            </w:r>
          </w:p>
        </w:tc>
        <w:tc>
          <w:tcPr>
            <w:tcW w:w="1060" w:type="dxa"/>
            <w:shd w:val="clear" w:color="auto" w:fill="auto"/>
            <w:vAlign w:val="center"/>
          </w:tcPr>
          <w:p w14:paraId="391F5172" w14:textId="77777777" w:rsidR="0072097E" w:rsidRPr="002D22C8" w:rsidRDefault="00000000">
            <w:pPr>
              <w:widowControl w:val="0"/>
              <w:spacing w:line="360" w:lineRule="auto"/>
              <w:jc w:val="right"/>
              <w:rPr>
                <w:color w:val="000000"/>
              </w:rPr>
            </w:pPr>
            <w:r w:rsidRPr="002D22C8">
              <w:rPr>
                <w:color w:val="000000"/>
              </w:rPr>
              <w:t>1,041,174,896</w:t>
            </w:r>
          </w:p>
        </w:tc>
        <w:tc>
          <w:tcPr>
            <w:tcW w:w="1059" w:type="dxa"/>
            <w:shd w:val="clear" w:color="auto" w:fill="auto"/>
            <w:vAlign w:val="center"/>
          </w:tcPr>
          <w:p w14:paraId="01844AA6" w14:textId="77777777" w:rsidR="0072097E" w:rsidRPr="002D22C8" w:rsidRDefault="00000000">
            <w:pPr>
              <w:widowControl w:val="0"/>
              <w:spacing w:line="360" w:lineRule="auto"/>
              <w:jc w:val="right"/>
              <w:rPr>
                <w:color w:val="000000"/>
              </w:rPr>
            </w:pPr>
            <w:r w:rsidRPr="002D22C8">
              <w:rPr>
                <w:color w:val="000000"/>
              </w:rPr>
              <w:t>1,230,775,059</w:t>
            </w:r>
          </w:p>
        </w:tc>
        <w:tc>
          <w:tcPr>
            <w:tcW w:w="1061" w:type="dxa"/>
            <w:shd w:val="clear" w:color="auto" w:fill="auto"/>
            <w:vAlign w:val="center"/>
          </w:tcPr>
          <w:p w14:paraId="4B3079AD" w14:textId="77777777" w:rsidR="0072097E" w:rsidRPr="002D22C8" w:rsidRDefault="00000000">
            <w:pPr>
              <w:widowControl w:val="0"/>
              <w:spacing w:line="360" w:lineRule="auto"/>
              <w:jc w:val="right"/>
              <w:rPr>
                <w:color w:val="000000"/>
              </w:rPr>
            </w:pPr>
            <w:r w:rsidRPr="002D22C8">
              <w:rPr>
                <w:color w:val="000000"/>
              </w:rPr>
              <w:t>1,421,685,126</w:t>
            </w:r>
          </w:p>
        </w:tc>
        <w:tc>
          <w:tcPr>
            <w:tcW w:w="1060" w:type="dxa"/>
            <w:shd w:val="clear" w:color="auto" w:fill="auto"/>
            <w:vAlign w:val="center"/>
          </w:tcPr>
          <w:p w14:paraId="1DB8C49B" w14:textId="77777777" w:rsidR="0072097E" w:rsidRPr="002D22C8" w:rsidRDefault="00000000">
            <w:pPr>
              <w:widowControl w:val="0"/>
              <w:spacing w:line="360" w:lineRule="auto"/>
              <w:jc w:val="right"/>
              <w:rPr>
                <w:color w:val="000000"/>
              </w:rPr>
            </w:pPr>
            <w:r w:rsidRPr="002D22C8">
              <w:rPr>
                <w:color w:val="000000"/>
              </w:rPr>
              <w:t>5,301,406,981</w:t>
            </w:r>
          </w:p>
        </w:tc>
        <w:tc>
          <w:tcPr>
            <w:tcW w:w="553" w:type="dxa"/>
            <w:shd w:val="clear" w:color="auto" w:fill="auto"/>
            <w:vAlign w:val="center"/>
          </w:tcPr>
          <w:p w14:paraId="545B3CAF" w14:textId="77777777" w:rsidR="0072097E" w:rsidRPr="002D22C8" w:rsidRDefault="00000000">
            <w:pPr>
              <w:widowControl w:val="0"/>
              <w:spacing w:line="360" w:lineRule="auto"/>
              <w:jc w:val="right"/>
              <w:rPr>
                <w:color w:val="000000"/>
              </w:rPr>
            </w:pPr>
            <w:r w:rsidRPr="002D22C8">
              <w:rPr>
                <w:color w:val="000000"/>
              </w:rPr>
              <w:t>100%</w:t>
            </w:r>
          </w:p>
        </w:tc>
      </w:tr>
    </w:tbl>
    <w:p w14:paraId="13096552" w14:textId="21099CB2" w:rsidR="0072097E" w:rsidRPr="002D22C8" w:rsidRDefault="00000000" w:rsidP="002D22C8">
      <w:pPr>
        <w:spacing w:line="360" w:lineRule="auto"/>
        <w:jc w:val="center"/>
        <w:rPr>
          <w:lang w:val="es-ES"/>
        </w:rPr>
      </w:pPr>
      <w:r w:rsidRPr="002D22C8">
        <w:rPr>
          <w:lang w:val="es-ES"/>
        </w:rPr>
        <w:t>Fuente: Cálculos propios con base en las tablas 6 y 7, y CRE (2015, 2016)</w:t>
      </w:r>
    </w:p>
    <w:p w14:paraId="6A80C843" w14:textId="77777777" w:rsidR="0072097E" w:rsidRDefault="00000000">
      <w:pPr>
        <w:spacing w:line="360" w:lineRule="auto"/>
        <w:jc w:val="both"/>
      </w:pPr>
      <w:r>
        <w:tab/>
        <w:t xml:space="preserve">De los resultados de la segunda etapa se observa que el componente del RI total con mayor peso es el monto asignado a la rentabilidad (35.7%), lo cual se debe a la inversión de casi 4,000 millones de pesos. Eso significa que se sabe que existe un componente de inversión que deberá ser recuperado por los distintos usuarios, pero se ignora en qué proporción se hará esa recuperación mediante las tarifas. La nueva inversión aparece simultáneamente con un nuevo usuario que es una empresa generadora de energía. En las resoluciones RES/730/2015 y en RES/055/2016 la CRE no presenta un análisis de los activos (gasoductos) que servirán para el consumo de la empresa de generación eléctrica. </w:t>
      </w:r>
      <w:r>
        <w:tab/>
        <w:t>Así, el órgano regulador no desglosa los costos de inversión, y como se ve en la Tabla 8, la decisión es que sean los usuarios domésticos los que paguen -mediante la tarifa- dicha nueva inversión.</w:t>
      </w:r>
    </w:p>
    <w:p w14:paraId="698FAB7F" w14:textId="77777777" w:rsidR="0072097E" w:rsidRDefault="00000000">
      <w:pPr>
        <w:spacing w:line="360" w:lineRule="auto"/>
        <w:jc w:val="both"/>
      </w:pPr>
      <w:r>
        <w:lastRenderedPageBreak/>
        <w:tab/>
        <w:t>Finalmente se hizo el ejercicio de obtener el RI asociado a los dos cargos por grupo tarifario y a nivel de los cuatro componentes, aplicando los porcentajes de asignación del RI por componente de la Tabla 9 anterior, a los requerimientos de ingresos de los dos cargos obtenidos en el primer momento (Tabla 8), como se muestra en la Tabla 10 siguiente.</w:t>
      </w:r>
    </w:p>
    <w:p w14:paraId="3B3A3ED3" w14:textId="77777777" w:rsidR="0039141E" w:rsidRDefault="0039141E">
      <w:pPr>
        <w:spacing w:line="360" w:lineRule="auto"/>
        <w:jc w:val="both"/>
      </w:pPr>
    </w:p>
    <w:p w14:paraId="3D52794A" w14:textId="77777777" w:rsidR="0072097E" w:rsidRDefault="00000000">
      <w:pPr>
        <w:spacing w:line="360" w:lineRule="auto"/>
        <w:jc w:val="center"/>
        <w:rPr>
          <w:b/>
          <w:bCs/>
        </w:rPr>
      </w:pPr>
      <w:r>
        <w:rPr>
          <w:b/>
          <w:bCs/>
        </w:rPr>
        <w:t xml:space="preserve">Tabla 10. </w:t>
      </w:r>
      <w:r>
        <w:t>Requerimiento de ingresos por grupo tarifario, según costos fijos y variables, por componente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5"/>
        <w:gridCol w:w="1245"/>
        <w:gridCol w:w="1284"/>
        <w:gridCol w:w="1126"/>
        <w:gridCol w:w="1133"/>
        <w:gridCol w:w="1135"/>
        <w:gridCol w:w="991"/>
      </w:tblGrid>
      <w:tr w:rsidR="0072097E" w:rsidRPr="002D22C8" w14:paraId="09BAC846" w14:textId="77777777" w:rsidTr="002D22C8">
        <w:trPr>
          <w:trHeight w:val="960"/>
          <w:jc w:val="center"/>
        </w:trPr>
        <w:tc>
          <w:tcPr>
            <w:tcW w:w="2294" w:type="dxa"/>
            <w:shd w:val="clear" w:color="auto" w:fill="auto"/>
            <w:vAlign w:val="center"/>
          </w:tcPr>
          <w:p w14:paraId="2003DD42" w14:textId="77777777" w:rsidR="0072097E" w:rsidRPr="002D22C8" w:rsidRDefault="00000000">
            <w:pPr>
              <w:widowControl w:val="0"/>
              <w:spacing w:line="360" w:lineRule="auto"/>
              <w:jc w:val="center"/>
              <w:rPr>
                <w:color w:val="000000"/>
              </w:rPr>
            </w:pPr>
            <w:r w:rsidRPr="002D22C8">
              <w:rPr>
                <w:color w:val="000000"/>
              </w:rPr>
              <w:t>Grupo Tarifario</w:t>
            </w:r>
          </w:p>
        </w:tc>
        <w:tc>
          <w:tcPr>
            <w:tcW w:w="1245" w:type="dxa"/>
            <w:shd w:val="clear" w:color="auto" w:fill="auto"/>
            <w:vAlign w:val="center"/>
          </w:tcPr>
          <w:p w14:paraId="4F4BEA7E" w14:textId="77777777" w:rsidR="0072097E" w:rsidRPr="002D22C8" w:rsidRDefault="00000000">
            <w:pPr>
              <w:widowControl w:val="0"/>
              <w:spacing w:line="360" w:lineRule="auto"/>
              <w:jc w:val="center"/>
              <w:rPr>
                <w:color w:val="000000"/>
              </w:rPr>
            </w:pPr>
            <w:r w:rsidRPr="002D22C8">
              <w:rPr>
                <w:color w:val="000000"/>
              </w:rPr>
              <w:t>Requerimiento de Ingresos</w:t>
            </w:r>
          </w:p>
        </w:tc>
        <w:tc>
          <w:tcPr>
            <w:tcW w:w="1284" w:type="dxa"/>
            <w:shd w:val="clear" w:color="auto" w:fill="auto"/>
            <w:vAlign w:val="center"/>
          </w:tcPr>
          <w:p w14:paraId="2E6FC27C" w14:textId="77777777" w:rsidR="0072097E" w:rsidRPr="002D22C8" w:rsidRDefault="00000000">
            <w:pPr>
              <w:widowControl w:val="0"/>
              <w:spacing w:line="360" w:lineRule="auto"/>
              <w:jc w:val="center"/>
              <w:rPr>
                <w:color w:val="000000"/>
              </w:rPr>
            </w:pPr>
            <w:r w:rsidRPr="002D22C8">
              <w:rPr>
                <w:color w:val="000000"/>
              </w:rPr>
              <w:t>% respecto al RI Total</w:t>
            </w:r>
          </w:p>
        </w:tc>
        <w:tc>
          <w:tcPr>
            <w:tcW w:w="1126" w:type="dxa"/>
            <w:shd w:val="clear" w:color="auto" w:fill="auto"/>
            <w:vAlign w:val="center"/>
          </w:tcPr>
          <w:p w14:paraId="1084D94E" w14:textId="77777777" w:rsidR="0072097E" w:rsidRPr="002D22C8" w:rsidRDefault="00000000">
            <w:pPr>
              <w:widowControl w:val="0"/>
              <w:spacing w:line="360" w:lineRule="auto"/>
              <w:jc w:val="center"/>
              <w:rPr>
                <w:color w:val="000000"/>
              </w:rPr>
            </w:pPr>
            <w:r w:rsidRPr="002D22C8">
              <w:rPr>
                <w:color w:val="000000"/>
              </w:rPr>
              <w:t>Rentabilidad</w:t>
            </w:r>
          </w:p>
        </w:tc>
        <w:tc>
          <w:tcPr>
            <w:tcW w:w="1133" w:type="dxa"/>
            <w:shd w:val="clear" w:color="auto" w:fill="auto"/>
            <w:vAlign w:val="center"/>
          </w:tcPr>
          <w:p w14:paraId="53913909" w14:textId="77777777" w:rsidR="0072097E" w:rsidRPr="002D22C8" w:rsidRDefault="00000000">
            <w:pPr>
              <w:widowControl w:val="0"/>
              <w:spacing w:line="360" w:lineRule="auto"/>
              <w:jc w:val="center"/>
              <w:rPr>
                <w:color w:val="000000"/>
              </w:rPr>
            </w:pPr>
            <w:r w:rsidRPr="002D22C8">
              <w:rPr>
                <w:color w:val="000000"/>
              </w:rPr>
              <w:t>Depreciación</w:t>
            </w:r>
          </w:p>
        </w:tc>
        <w:tc>
          <w:tcPr>
            <w:tcW w:w="1135" w:type="dxa"/>
            <w:shd w:val="clear" w:color="auto" w:fill="auto"/>
            <w:vAlign w:val="center"/>
          </w:tcPr>
          <w:p w14:paraId="0545F4DA" w14:textId="77777777" w:rsidR="0072097E" w:rsidRPr="002D22C8" w:rsidRDefault="00000000">
            <w:pPr>
              <w:widowControl w:val="0"/>
              <w:spacing w:line="360" w:lineRule="auto"/>
              <w:jc w:val="center"/>
              <w:rPr>
                <w:color w:val="000000"/>
              </w:rPr>
            </w:pPr>
            <w:r w:rsidRPr="002D22C8">
              <w:rPr>
                <w:color w:val="000000"/>
              </w:rPr>
              <w:t>Costos OMAV</w:t>
            </w:r>
          </w:p>
        </w:tc>
        <w:tc>
          <w:tcPr>
            <w:tcW w:w="991" w:type="dxa"/>
            <w:shd w:val="clear" w:color="auto" w:fill="auto"/>
            <w:vAlign w:val="center"/>
          </w:tcPr>
          <w:p w14:paraId="67CEF5DB" w14:textId="77777777" w:rsidR="0072097E" w:rsidRPr="002D22C8" w:rsidRDefault="00000000">
            <w:pPr>
              <w:widowControl w:val="0"/>
              <w:spacing w:line="360" w:lineRule="auto"/>
              <w:jc w:val="center"/>
              <w:rPr>
                <w:color w:val="000000"/>
              </w:rPr>
            </w:pPr>
            <w:r w:rsidRPr="002D22C8">
              <w:rPr>
                <w:color w:val="000000"/>
              </w:rPr>
              <w:t>Impuestos</w:t>
            </w:r>
          </w:p>
        </w:tc>
      </w:tr>
      <w:tr w:rsidR="0072097E" w:rsidRPr="002D22C8" w14:paraId="3E5B2D5E" w14:textId="77777777" w:rsidTr="002D22C8">
        <w:trPr>
          <w:trHeight w:val="280"/>
          <w:jc w:val="center"/>
        </w:trPr>
        <w:tc>
          <w:tcPr>
            <w:tcW w:w="2294" w:type="dxa"/>
            <w:shd w:val="clear" w:color="auto" w:fill="auto"/>
            <w:vAlign w:val="center"/>
          </w:tcPr>
          <w:p w14:paraId="5DA1E69E" w14:textId="77777777" w:rsidR="0072097E" w:rsidRPr="002D22C8" w:rsidRDefault="00000000">
            <w:pPr>
              <w:widowControl w:val="0"/>
              <w:spacing w:line="360" w:lineRule="auto"/>
              <w:rPr>
                <w:color w:val="000000"/>
              </w:rPr>
            </w:pPr>
            <w:r w:rsidRPr="002D22C8">
              <w:rPr>
                <w:color w:val="000000"/>
              </w:rPr>
              <w:t>Residencial</w:t>
            </w:r>
          </w:p>
        </w:tc>
        <w:tc>
          <w:tcPr>
            <w:tcW w:w="1245" w:type="dxa"/>
            <w:shd w:val="clear" w:color="auto" w:fill="auto"/>
            <w:vAlign w:val="center"/>
          </w:tcPr>
          <w:p w14:paraId="2719164A" w14:textId="77777777" w:rsidR="0072097E" w:rsidRPr="002D22C8" w:rsidRDefault="00000000">
            <w:pPr>
              <w:widowControl w:val="0"/>
              <w:spacing w:line="360" w:lineRule="auto"/>
              <w:jc w:val="right"/>
              <w:rPr>
                <w:color w:val="000000"/>
              </w:rPr>
            </w:pPr>
            <w:r w:rsidRPr="002D22C8">
              <w:rPr>
                <w:color w:val="000000"/>
              </w:rPr>
              <w:t>1,548,033,480</w:t>
            </w:r>
          </w:p>
        </w:tc>
        <w:tc>
          <w:tcPr>
            <w:tcW w:w="1284" w:type="dxa"/>
            <w:shd w:val="clear" w:color="auto" w:fill="auto"/>
            <w:vAlign w:val="center"/>
          </w:tcPr>
          <w:p w14:paraId="0878D506" w14:textId="77777777" w:rsidR="0072097E" w:rsidRPr="002D22C8" w:rsidRDefault="00000000">
            <w:pPr>
              <w:widowControl w:val="0"/>
              <w:spacing w:line="360" w:lineRule="auto"/>
              <w:jc w:val="right"/>
              <w:rPr>
                <w:color w:val="000000"/>
              </w:rPr>
            </w:pPr>
            <w:r w:rsidRPr="002D22C8">
              <w:rPr>
                <w:color w:val="000000"/>
              </w:rPr>
              <w:t>24.6%</w:t>
            </w:r>
          </w:p>
        </w:tc>
        <w:tc>
          <w:tcPr>
            <w:tcW w:w="1126" w:type="dxa"/>
            <w:shd w:val="clear" w:color="auto" w:fill="auto"/>
            <w:vAlign w:val="center"/>
          </w:tcPr>
          <w:p w14:paraId="1E910D3D" w14:textId="77777777" w:rsidR="0072097E" w:rsidRPr="002D22C8" w:rsidRDefault="00000000">
            <w:pPr>
              <w:widowControl w:val="0"/>
              <w:spacing w:line="360" w:lineRule="auto"/>
              <w:jc w:val="right"/>
              <w:rPr>
                <w:color w:val="000000"/>
              </w:rPr>
            </w:pPr>
            <w:r w:rsidRPr="002D22C8">
              <w:rPr>
                <w:color w:val="000000"/>
              </w:rPr>
              <w:t>552,372,710</w:t>
            </w:r>
          </w:p>
        </w:tc>
        <w:tc>
          <w:tcPr>
            <w:tcW w:w="1133" w:type="dxa"/>
            <w:shd w:val="clear" w:color="auto" w:fill="auto"/>
            <w:vAlign w:val="center"/>
          </w:tcPr>
          <w:p w14:paraId="3DB5B0A1" w14:textId="77777777" w:rsidR="0072097E" w:rsidRPr="002D22C8" w:rsidRDefault="00000000">
            <w:pPr>
              <w:widowControl w:val="0"/>
              <w:spacing w:line="360" w:lineRule="auto"/>
              <w:jc w:val="right"/>
              <w:rPr>
                <w:color w:val="000000"/>
              </w:rPr>
            </w:pPr>
            <w:r w:rsidRPr="002D22C8">
              <w:rPr>
                <w:color w:val="000000"/>
              </w:rPr>
              <w:t>349,048,508</w:t>
            </w:r>
          </w:p>
        </w:tc>
        <w:tc>
          <w:tcPr>
            <w:tcW w:w="1135" w:type="dxa"/>
            <w:shd w:val="clear" w:color="auto" w:fill="auto"/>
            <w:vAlign w:val="center"/>
          </w:tcPr>
          <w:p w14:paraId="7E45F7A9" w14:textId="77777777" w:rsidR="0072097E" w:rsidRPr="002D22C8" w:rsidRDefault="00000000">
            <w:pPr>
              <w:widowControl w:val="0"/>
              <w:spacing w:line="360" w:lineRule="auto"/>
              <w:jc w:val="right"/>
              <w:rPr>
                <w:color w:val="000000"/>
              </w:rPr>
            </w:pPr>
            <w:r w:rsidRPr="002D22C8">
              <w:rPr>
                <w:color w:val="000000"/>
              </w:rPr>
              <w:t>409,881,101</w:t>
            </w:r>
          </w:p>
        </w:tc>
        <w:tc>
          <w:tcPr>
            <w:tcW w:w="991" w:type="dxa"/>
            <w:shd w:val="clear" w:color="auto" w:fill="auto"/>
            <w:vAlign w:val="center"/>
          </w:tcPr>
          <w:p w14:paraId="5D3B132A" w14:textId="77777777" w:rsidR="0072097E" w:rsidRPr="002D22C8" w:rsidRDefault="00000000">
            <w:pPr>
              <w:widowControl w:val="0"/>
              <w:spacing w:line="360" w:lineRule="auto"/>
              <w:jc w:val="right"/>
              <w:rPr>
                <w:color w:val="000000"/>
              </w:rPr>
            </w:pPr>
            <w:r w:rsidRPr="002D22C8">
              <w:rPr>
                <w:color w:val="000000"/>
              </w:rPr>
              <w:t>236,731,161</w:t>
            </w:r>
          </w:p>
        </w:tc>
      </w:tr>
      <w:tr w:rsidR="0072097E" w:rsidRPr="002D22C8" w14:paraId="74520661" w14:textId="77777777" w:rsidTr="002D22C8">
        <w:trPr>
          <w:trHeight w:val="280"/>
          <w:jc w:val="center"/>
        </w:trPr>
        <w:tc>
          <w:tcPr>
            <w:tcW w:w="2294" w:type="dxa"/>
            <w:shd w:val="clear" w:color="auto" w:fill="auto"/>
            <w:vAlign w:val="center"/>
          </w:tcPr>
          <w:p w14:paraId="4AE83355" w14:textId="77777777" w:rsidR="0072097E" w:rsidRPr="002D22C8" w:rsidRDefault="00000000">
            <w:pPr>
              <w:widowControl w:val="0"/>
              <w:spacing w:line="360" w:lineRule="auto"/>
              <w:rPr>
                <w:color w:val="000000"/>
              </w:rPr>
            </w:pPr>
            <w:r w:rsidRPr="002D22C8">
              <w:rPr>
                <w:color w:val="000000"/>
              </w:rPr>
              <w:t>Comercial</w:t>
            </w:r>
          </w:p>
        </w:tc>
        <w:tc>
          <w:tcPr>
            <w:tcW w:w="1245" w:type="dxa"/>
            <w:shd w:val="clear" w:color="auto" w:fill="auto"/>
            <w:vAlign w:val="center"/>
          </w:tcPr>
          <w:p w14:paraId="490628F5" w14:textId="77777777" w:rsidR="0072097E" w:rsidRPr="002D22C8" w:rsidRDefault="00000000">
            <w:pPr>
              <w:widowControl w:val="0"/>
              <w:spacing w:line="360" w:lineRule="auto"/>
              <w:jc w:val="right"/>
              <w:rPr>
                <w:color w:val="000000"/>
              </w:rPr>
            </w:pPr>
            <w:r w:rsidRPr="002D22C8">
              <w:rPr>
                <w:color w:val="000000"/>
              </w:rPr>
              <w:t>46,182,000</w:t>
            </w:r>
          </w:p>
        </w:tc>
        <w:tc>
          <w:tcPr>
            <w:tcW w:w="1284" w:type="dxa"/>
            <w:shd w:val="clear" w:color="auto" w:fill="auto"/>
            <w:vAlign w:val="center"/>
          </w:tcPr>
          <w:p w14:paraId="0C5E1A1F" w14:textId="77777777" w:rsidR="0072097E" w:rsidRPr="002D22C8" w:rsidRDefault="00000000">
            <w:pPr>
              <w:widowControl w:val="0"/>
              <w:spacing w:line="360" w:lineRule="auto"/>
              <w:jc w:val="right"/>
              <w:rPr>
                <w:color w:val="000000"/>
              </w:rPr>
            </w:pPr>
            <w:r w:rsidRPr="002D22C8">
              <w:rPr>
                <w:color w:val="000000"/>
              </w:rPr>
              <w:t>0.7%</w:t>
            </w:r>
          </w:p>
        </w:tc>
        <w:tc>
          <w:tcPr>
            <w:tcW w:w="1126" w:type="dxa"/>
            <w:shd w:val="clear" w:color="auto" w:fill="auto"/>
            <w:vAlign w:val="center"/>
          </w:tcPr>
          <w:p w14:paraId="111CC5F2" w14:textId="77777777" w:rsidR="0072097E" w:rsidRPr="002D22C8" w:rsidRDefault="00000000">
            <w:pPr>
              <w:widowControl w:val="0"/>
              <w:spacing w:line="360" w:lineRule="auto"/>
              <w:jc w:val="right"/>
              <w:rPr>
                <w:color w:val="000000"/>
              </w:rPr>
            </w:pPr>
            <w:r w:rsidRPr="002D22C8">
              <w:rPr>
                <w:color w:val="000000"/>
              </w:rPr>
              <w:t>16,478,763</w:t>
            </w:r>
          </w:p>
        </w:tc>
        <w:tc>
          <w:tcPr>
            <w:tcW w:w="1133" w:type="dxa"/>
            <w:shd w:val="clear" w:color="auto" w:fill="auto"/>
            <w:vAlign w:val="center"/>
          </w:tcPr>
          <w:p w14:paraId="17E28E9D" w14:textId="77777777" w:rsidR="0072097E" w:rsidRPr="002D22C8" w:rsidRDefault="00000000">
            <w:pPr>
              <w:widowControl w:val="0"/>
              <w:spacing w:line="360" w:lineRule="auto"/>
              <w:jc w:val="right"/>
              <w:rPr>
                <w:color w:val="000000"/>
              </w:rPr>
            </w:pPr>
            <w:r w:rsidRPr="002D22C8">
              <w:rPr>
                <w:color w:val="000000"/>
              </w:rPr>
              <w:t>10,413,055</w:t>
            </w:r>
          </w:p>
        </w:tc>
        <w:tc>
          <w:tcPr>
            <w:tcW w:w="1135" w:type="dxa"/>
            <w:shd w:val="clear" w:color="auto" w:fill="auto"/>
            <w:vAlign w:val="center"/>
          </w:tcPr>
          <w:p w14:paraId="6985CB44" w14:textId="77777777" w:rsidR="0072097E" w:rsidRPr="002D22C8" w:rsidRDefault="00000000">
            <w:pPr>
              <w:widowControl w:val="0"/>
              <w:spacing w:line="360" w:lineRule="auto"/>
              <w:jc w:val="right"/>
              <w:rPr>
                <w:color w:val="000000"/>
              </w:rPr>
            </w:pPr>
            <w:r w:rsidRPr="002D22C8">
              <w:rPr>
                <w:color w:val="000000"/>
              </w:rPr>
              <w:t>12,227,855</w:t>
            </w:r>
          </w:p>
        </w:tc>
        <w:tc>
          <w:tcPr>
            <w:tcW w:w="991" w:type="dxa"/>
            <w:shd w:val="clear" w:color="auto" w:fill="auto"/>
            <w:vAlign w:val="center"/>
          </w:tcPr>
          <w:p w14:paraId="4CD3CC50" w14:textId="77777777" w:rsidR="0072097E" w:rsidRPr="002D22C8" w:rsidRDefault="00000000">
            <w:pPr>
              <w:widowControl w:val="0"/>
              <w:spacing w:line="360" w:lineRule="auto"/>
              <w:jc w:val="right"/>
              <w:rPr>
                <w:color w:val="000000"/>
              </w:rPr>
            </w:pPr>
            <w:r w:rsidRPr="002D22C8">
              <w:rPr>
                <w:color w:val="000000"/>
              </w:rPr>
              <w:t>7,062,327</w:t>
            </w:r>
          </w:p>
        </w:tc>
      </w:tr>
      <w:tr w:rsidR="0072097E" w:rsidRPr="002D22C8" w14:paraId="5A595398" w14:textId="77777777" w:rsidTr="002D22C8">
        <w:trPr>
          <w:trHeight w:val="280"/>
          <w:jc w:val="center"/>
        </w:trPr>
        <w:tc>
          <w:tcPr>
            <w:tcW w:w="2294" w:type="dxa"/>
            <w:shd w:val="clear" w:color="auto" w:fill="auto"/>
            <w:vAlign w:val="center"/>
          </w:tcPr>
          <w:p w14:paraId="09CBB7F8" w14:textId="77777777" w:rsidR="0072097E" w:rsidRPr="002D22C8" w:rsidRDefault="00000000">
            <w:pPr>
              <w:widowControl w:val="0"/>
              <w:spacing w:line="360" w:lineRule="auto"/>
              <w:rPr>
                <w:color w:val="000000"/>
              </w:rPr>
            </w:pPr>
            <w:r w:rsidRPr="002D22C8">
              <w:rPr>
                <w:color w:val="000000"/>
              </w:rPr>
              <w:t>Gran comercial-Pequeño Industrial</w:t>
            </w:r>
          </w:p>
        </w:tc>
        <w:tc>
          <w:tcPr>
            <w:tcW w:w="1245" w:type="dxa"/>
            <w:shd w:val="clear" w:color="auto" w:fill="auto"/>
            <w:vAlign w:val="center"/>
          </w:tcPr>
          <w:p w14:paraId="675D5AF7" w14:textId="77777777" w:rsidR="0072097E" w:rsidRPr="002D22C8" w:rsidRDefault="00000000">
            <w:pPr>
              <w:widowControl w:val="0"/>
              <w:spacing w:line="360" w:lineRule="auto"/>
              <w:jc w:val="right"/>
              <w:rPr>
                <w:color w:val="000000"/>
              </w:rPr>
            </w:pPr>
            <w:r w:rsidRPr="002D22C8">
              <w:rPr>
                <w:color w:val="000000"/>
              </w:rPr>
              <w:t>30,360,000</w:t>
            </w:r>
          </w:p>
        </w:tc>
        <w:tc>
          <w:tcPr>
            <w:tcW w:w="1284" w:type="dxa"/>
            <w:shd w:val="clear" w:color="auto" w:fill="auto"/>
            <w:vAlign w:val="center"/>
          </w:tcPr>
          <w:p w14:paraId="0377A694" w14:textId="77777777" w:rsidR="0072097E" w:rsidRPr="002D22C8" w:rsidRDefault="00000000">
            <w:pPr>
              <w:widowControl w:val="0"/>
              <w:spacing w:line="360" w:lineRule="auto"/>
              <w:jc w:val="right"/>
              <w:rPr>
                <w:color w:val="000000"/>
              </w:rPr>
            </w:pPr>
            <w:r w:rsidRPr="002D22C8">
              <w:rPr>
                <w:color w:val="000000"/>
              </w:rPr>
              <w:t>0.5%</w:t>
            </w:r>
          </w:p>
        </w:tc>
        <w:tc>
          <w:tcPr>
            <w:tcW w:w="1126" w:type="dxa"/>
            <w:shd w:val="clear" w:color="auto" w:fill="auto"/>
            <w:vAlign w:val="center"/>
          </w:tcPr>
          <w:p w14:paraId="203E1E03" w14:textId="77777777" w:rsidR="0072097E" w:rsidRPr="002D22C8" w:rsidRDefault="00000000">
            <w:pPr>
              <w:widowControl w:val="0"/>
              <w:spacing w:line="360" w:lineRule="auto"/>
              <w:jc w:val="right"/>
              <w:rPr>
                <w:color w:val="000000"/>
              </w:rPr>
            </w:pPr>
            <w:r w:rsidRPr="002D22C8">
              <w:rPr>
                <w:color w:val="000000"/>
              </w:rPr>
              <w:t>10,833,122</w:t>
            </w:r>
          </w:p>
        </w:tc>
        <w:tc>
          <w:tcPr>
            <w:tcW w:w="1133" w:type="dxa"/>
            <w:shd w:val="clear" w:color="auto" w:fill="auto"/>
            <w:vAlign w:val="center"/>
          </w:tcPr>
          <w:p w14:paraId="0A120CF2" w14:textId="77777777" w:rsidR="0072097E" w:rsidRPr="002D22C8" w:rsidRDefault="00000000">
            <w:pPr>
              <w:widowControl w:val="0"/>
              <w:spacing w:line="360" w:lineRule="auto"/>
              <w:jc w:val="right"/>
              <w:rPr>
                <w:color w:val="000000"/>
              </w:rPr>
            </w:pPr>
            <w:r w:rsidRPr="002D22C8">
              <w:rPr>
                <w:color w:val="000000"/>
              </w:rPr>
              <w:t>6,845,532</w:t>
            </w:r>
          </w:p>
        </w:tc>
        <w:tc>
          <w:tcPr>
            <w:tcW w:w="1135" w:type="dxa"/>
            <w:shd w:val="clear" w:color="auto" w:fill="auto"/>
            <w:vAlign w:val="center"/>
          </w:tcPr>
          <w:p w14:paraId="718747B3" w14:textId="77777777" w:rsidR="0072097E" w:rsidRPr="002D22C8" w:rsidRDefault="00000000">
            <w:pPr>
              <w:widowControl w:val="0"/>
              <w:spacing w:line="360" w:lineRule="auto"/>
              <w:jc w:val="right"/>
              <w:rPr>
                <w:color w:val="000000"/>
              </w:rPr>
            </w:pPr>
            <w:r w:rsidRPr="002D22C8">
              <w:rPr>
                <w:color w:val="000000"/>
              </w:rPr>
              <w:t>8,038,580</w:t>
            </w:r>
          </w:p>
        </w:tc>
        <w:tc>
          <w:tcPr>
            <w:tcW w:w="991" w:type="dxa"/>
            <w:shd w:val="clear" w:color="auto" w:fill="auto"/>
            <w:vAlign w:val="center"/>
          </w:tcPr>
          <w:p w14:paraId="6DD6892C" w14:textId="77777777" w:rsidR="0072097E" w:rsidRPr="002D22C8" w:rsidRDefault="00000000">
            <w:pPr>
              <w:widowControl w:val="0"/>
              <w:spacing w:line="360" w:lineRule="auto"/>
              <w:jc w:val="right"/>
              <w:rPr>
                <w:color w:val="000000"/>
              </w:rPr>
            </w:pPr>
            <w:r w:rsidRPr="002D22C8">
              <w:rPr>
                <w:color w:val="000000"/>
              </w:rPr>
              <w:t>4,642,767</w:t>
            </w:r>
          </w:p>
        </w:tc>
      </w:tr>
      <w:tr w:rsidR="0072097E" w:rsidRPr="002D22C8" w14:paraId="79316627" w14:textId="77777777" w:rsidTr="002D22C8">
        <w:trPr>
          <w:trHeight w:val="280"/>
          <w:jc w:val="center"/>
        </w:trPr>
        <w:tc>
          <w:tcPr>
            <w:tcW w:w="2294" w:type="dxa"/>
            <w:shd w:val="clear" w:color="auto" w:fill="auto"/>
            <w:vAlign w:val="center"/>
          </w:tcPr>
          <w:p w14:paraId="2FE8DCBD" w14:textId="77777777" w:rsidR="0072097E" w:rsidRPr="002D22C8" w:rsidRDefault="00000000">
            <w:pPr>
              <w:widowControl w:val="0"/>
              <w:spacing w:line="360" w:lineRule="auto"/>
              <w:rPr>
                <w:color w:val="000000"/>
              </w:rPr>
            </w:pPr>
            <w:r w:rsidRPr="002D22C8">
              <w:rPr>
                <w:color w:val="000000"/>
              </w:rPr>
              <w:t>Gran Industrial</w:t>
            </w:r>
          </w:p>
        </w:tc>
        <w:tc>
          <w:tcPr>
            <w:tcW w:w="1245" w:type="dxa"/>
            <w:shd w:val="clear" w:color="auto" w:fill="auto"/>
            <w:vAlign w:val="center"/>
          </w:tcPr>
          <w:p w14:paraId="1369156E" w14:textId="77777777" w:rsidR="0072097E" w:rsidRPr="002D22C8" w:rsidRDefault="00000000">
            <w:pPr>
              <w:widowControl w:val="0"/>
              <w:spacing w:line="360" w:lineRule="auto"/>
              <w:jc w:val="right"/>
              <w:rPr>
                <w:color w:val="000000"/>
              </w:rPr>
            </w:pPr>
            <w:r w:rsidRPr="002D22C8">
              <w:rPr>
                <w:color w:val="000000"/>
              </w:rPr>
              <w:t>21,600,000</w:t>
            </w:r>
          </w:p>
        </w:tc>
        <w:tc>
          <w:tcPr>
            <w:tcW w:w="1284" w:type="dxa"/>
            <w:shd w:val="clear" w:color="auto" w:fill="auto"/>
            <w:vAlign w:val="center"/>
          </w:tcPr>
          <w:p w14:paraId="4167DD79" w14:textId="77777777" w:rsidR="0072097E" w:rsidRPr="002D22C8" w:rsidRDefault="00000000">
            <w:pPr>
              <w:widowControl w:val="0"/>
              <w:spacing w:line="360" w:lineRule="auto"/>
              <w:jc w:val="right"/>
              <w:rPr>
                <w:color w:val="000000"/>
              </w:rPr>
            </w:pPr>
            <w:r w:rsidRPr="002D22C8">
              <w:rPr>
                <w:color w:val="000000"/>
              </w:rPr>
              <w:t>0.3%</w:t>
            </w:r>
          </w:p>
        </w:tc>
        <w:tc>
          <w:tcPr>
            <w:tcW w:w="1126" w:type="dxa"/>
            <w:shd w:val="clear" w:color="auto" w:fill="auto"/>
            <w:vAlign w:val="center"/>
          </w:tcPr>
          <w:p w14:paraId="48A853DB" w14:textId="77777777" w:rsidR="0072097E" w:rsidRPr="002D22C8" w:rsidRDefault="00000000">
            <w:pPr>
              <w:widowControl w:val="0"/>
              <w:spacing w:line="360" w:lineRule="auto"/>
              <w:jc w:val="right"/>
              <w:rPr>
                <w:color w:val="000000"/>
              </w:rPr>
            </w:pPr>
            <w:r w:rsidRPr="002D22C8">
              <w:rPr>
                <w:color w:val="000000"/>
              </w:rPr>
              <w:t>7,707,359</w:t>
            </w:r>
          </w:p>
        </w:tc>
        <w:tc>
          <w:tcPr>
            <w:tcW w:w="1133" w:type="dxa"/>
            <w:shd w:val="clear" w:color="auto" w:fill="auto"/>
            <w:vAlign w:val="center"/>
          </w:tcPr>
          <w:p w14:paraId="7CA5DDC9" w14:textId="77777777" w:rsidR="0072097E" w:rsidRPr="002D22C8" w:rsidRDefault="00000000">
            <w:pPr>
              <w:widowControl w:val="0"/>
              <w:spacing w:line="360" w:lineRule="auto"/>
              <w:jc w:val="right"/>
              <w:rPr>
                <w:color w:val="000000"/>
              </w:rPr>
            </w:pPr>
            <w:r w:rsidRPr="002D22C8">
              <w:rPr>
                <w:color w:val="000000"/>
              </w:rPr>
              <w:t>4,870,339</w:t>
            </w:r>
          </w:p>
        </w:tc>
        <w:tc>
          <w:tcPr>
            <w:tcW w:w="1135" w:type="dxa"/>
            <w:shd w:val="clear" w:color="auto" w:fill="auto"/>
            <w:vAlign w:val="center"/>
          </w:tcPr>
          <w:p w14:paraId="023A5113" w14:textId="77777777" w:rsidR="0072097E" w:rsidRPr="002D22C8" w:rsidRDefault="00000000">
            <w:pPr>
              <w:widowControl w:val="0"/>
              <w:spacing w:line="360" w:lineRule="auto"/>
              <w:jc w:val="right"/>
              <w:rPr>
                <w:color w:val="000000"/>
              </w:rPr>
            </w:pPr>
            <w:r w:rsidRPr="002D22C8">
              <w:rPr>
                <w:color w:val="000000"/>
              </w:rPr>
              <w:t>5,719,147</w:t>
            </w:r>
          </w:p>
        </w:tc>
        <w:tc>
          <w:tcPr>
            <w:tcW w:w="991" w:type="dxa"/>
            <w:shd w:val="clear" w:color="auto" w:fill="auto"/>
            <w:vAlign w:val="center"/>
          </w:tcPr>
          <w:p w14:paraId="1244EC7E" w14:textId="77777777" w:rsidR="0072097E" w:rsidRPr="002D22C8" w:rsidRDefault="00000000">
            <w:pPr>
              <w:widowControl w:val="0"/>
              <w:spacing w:line="360" w:lineRule="auto"/>
              <w:jc w:val="right"/>
              <w:rPr>
                <w:color w:val="000000"/>
              </w:rPr>
            </w:pPr>
            <w:r w:rsidRPr="002D22C8">
              <w:rPr>
                <w:color w:val="000000"/>
              </w:rPr>
              <w:t>3,303,154</w:t>
            </w:r>
          </w:p>
        </w:tc>
      </w:tr>
      <w:tr w:rsidR="0072097E" w:rsidRPr="002D22C8" w14:paraId="21EEC8F0" w14:textId="77777777" w:rsidTr="002D22C8">
        <w:trPr>
          <w:trHeight w:val="280"/>
          <w:jc w:val="center"/>
        </w:trPr>
        <w:tc>
          <w:tcPr>
            <w:tcW w:w="2294" w:type="dxa"/>
            <w:shd w:val="clear" w:color="auto" w:fill="auto"/>
            <w:vAlign w:val="center"/>
          </w:tcPr>
          <w:p w14:paraId="7728E8D7" w14:textId="77777777" w:rsidR="0072097E" w:rsidRPr="002D22C8" w:rsidRDefault="00000000">
            <w:pPr>
              <w:widowControl w:val="0"/>
              <w:spacing w:line="360" w:lineRule="auto"/>
              <w:rPr>
                <w:color w:val="000000"/>
              </w:rPr>
            </w:pPr>
            <w:r w:rsidRPr="002D22C8">
              <w:rPr>
                <w:color w:val="000000"/>
              </w:rPr>
              <w:t>GU1</w:t>
            </w:r>
          </w:p>
        </w:tc>
        <w:tc>
          <w:tcPr>
            <w:tcW w:w="1245" w:type="dxa"/>
            <w:shd w:val="clear" w:color="auto" w:fill="auto"/>
            <w:vAlign w:val="center"/>
          </w:tcPr>
          <w:p w14:paraId="777977EA" w14:textId="77777777" w:rsidR="0072097E" w:rsidRPr="002D22C8" w:rsidRDefault="00000000">
            <w:pPr>
              <w:widowControl w:val="0"/>
              <w:spacing w:line="360" w:lineRule="auto"/>
              <w:jc w:val="right"/>
              <w:rPr>
                <w:color w:val="000000"/>
              </w:rPr>
            </w:pPr>
            <w:r w:rsidRPr="002D22C8">
              <w:rPr>
                <w:color w:val="000000"/>
              </w:rPr>
              <w:t>600,000</w:t>
            </w:r>
          </w:p>
        </w:tc>
        <w:tc>
          <w:tcPr>
            <w:tcW w:w="1284" w:type="dxa"/>
            <w:shd w:val="clear" w:color="auto" w:fill="auto"/>
            <w:vAlign w:val="center"/>
          </w:tcPr>
          <w:p w14:paraId="09FA36EF" w14:textId="77777777" w:rsidR="0072097E" w:rsidRPr="002D22C8" w:rsidRDefault="00000000">
            <w:pPr>
              <w:widowControl w:val="0"/>
              <w:spacing w:line="360" w:lineRule="auto"/>
              <w:jc w:val="right"/>
              <w:rPr>
                <w:color w:val="000000"/>
              </w:rPr>
            </w:pPr>
            <w:r w:rsidRPr="002D22C8">
              <w:rPr>
                <w:color w:val="000000"/>
              </w:rPr>
              <w:t>0.0%</w:t>
            </w:r>
          </w:p>
        </w:tc>
        <w:tc>
          <w:tcPr>
            <w:tcW w:w="1126" w:type="dxa"/>
            <w:shd w:val="clear" w:color="auto" w:fill="auto"/>
            <w:vAlign w:val="center"/>
          </w:tcPr>
          <w:p w14:paraId="5F1A2A17" w14:textId="77777777" w:rsidR="0072097E" w:rsidRPr="002D22C8" w:rsidRDefault="00000000">
            <w:pPr>
              <w:widowControl w:val="0"/>
              <w:spacing w:line="360" w:lineRule="auto"/>
              <w:jc w:val="right"/>
              <w:rPr>
                <w:color w:val="000000"/>
              </w:rPr>
            </w:pPr>
            <w:r w:rsidRPr="002D22C8">
              <w:rPr>
                <w:color w:val="000000"/>
              </w:rPr>
              <w:t>214,093</w:t>
            </w:r>
          </w:p>
        </w:tc>
        <w:tc>
          <w:tcPr>
            <w:tcW w:w="1133" w:type="dxa"/>
            <w:shd w:val="clear" w:color="auto" w:fill="auto"/>
            <w:vAlign w:val="center"/>
          </w:tcPr>
          <w:p w14:paraId="09CDA833" w14:textId="77777777" w:rsidR="0072097E" w:rsidRPr="002D22C8" w:rsidRDefault="00000000">
            <w:pPr>
              <w:widowControl w:val="0"/>
              <w:spacing w:line="360" w:lineRule="auto"/>
              <w:jc w:val="right"/>
              <w:rPr>
                <w:color w:val="000000"/>
              </w:rPr>
            </w:pPr>
            <w:r w:rsidRPr="002D22C8">
              <w:rPr>
                <w:color w:val="000000"/>
              </w:rPr>
              <w:t>135,287</w:t>
            </w:r>
          </w:p>
        </w:tc>
        <w:tc>
          <w:tcPr>
            <w:tcW w:w="1135" w:type="dxa"/>
            <w:shd w:val="clear" w:color="auto" w:fill="auto"/>
            <w:vAlign w:val="center"/>
          </w:tcPr>
          <w:p w14:paraId="31BA58F6" w14:textId="77777777" w:rsidR="0072097E" w:rsidRPr="002D22C8" w:rsidRDefault="00000000">
            <w:pPr>
              <w:widowControl w:val="0"/>
              <w:spacing w:line="360" w:lineRule="auto"/>
              <w:jc w:val="right"/>
              <w:rPr>
                <w:color w:val="000000"/>
              </w:rPr>
            </w:pPr>
            <w:r w:rsidRPr="002D22C8">
              <w:rPr>
                <w:color w:val="000000"/>
              </w:rPr>
              <w:t>158,865</w:t>
            </w:r>
          </w:p>
        </w:tc>
        <w:tc>
          <w:tcPr>
            <w:tcW w:w="991" w:type="dxa"/>
            <w:shd w:val="clear" w:color="auto" w:fill="auto"/>
            <w:vAlign w:val="center"/>
          </w:tcPr>
          <w:p w14:paraId="54F3A431" w14:textId="77777777" w:rsidR="0072097E" w:rsidRPr="002D22C8" w:rsidRDefault="00000000">
            <w:pPr>
              <w:widowControl w:val="0"/>
              <w:spacing w:line="360" w:lineRule="auto"/>
              <w:jc w:val="right"/>
              <w:rPr>
                <w:color w:val="000000"/>
              </w:rPr>
            </w:pPr>
            <w:r w:rsidRPr="002D22C8">
              <w:rPr>
                <w:color w:val="000000"/>
              </w:rPr>
              <w:t>91,754</w:t>
            </w:r>
          </w:p>
        </w:tc>
      </w:tr>
      <w:tr w:rsidR="0072097E" w:rsidRPr="002D22C8" w14:paraId="5A7FC374" w14:textId="77777777" w:rsidTr="002D22C8">
        <w:trPr>
          <w:trHeight w:val="280"/>
          <w:jc w:val="center"/>
        </w:trPr>
        <w:tc>
          <w:tcPr>
            <w:tcW w:w="2294" w:type="dxa"/>
            <w:shd w:val="clear" w:color="auto" w:fill="auto"/>
            <w:vAlign w:val="center"/>
          </w:tcPr>
          <w:p w14:paraId="609F708F" w14:textId="77777777" w:rsidR="0072097E" w:rsidRPr="002D22C8" w:rsidRDefault="00000000">
            <w:pPr>
              <w:widowControl w:val="0"/>
              <w:spacing w:line="360" w:lineRule="auto"/>
              <w:rPr>
                <w:color w:val="000000"/>
              </w:rPr>
            </w:pPr>
            <w:proofErr w:type="gramStart"/>
            <w:r w:rsidRPr="002D22C8">
              <w:rPr>
                <w:color w:val="000000"/>
              </w:rPr>
              <w:t>Total</w:t>
            </w:r>
            <w:proofErr w:type="gramEnd"/>
            <w:r w:rsidRPr="002D22C8">
              <w:rPr>
                <w:color w:val="000000"/>
              </w:rPr>
              <w:t xml:space="preserve"> RI por servicio</w:t>
            </w:r>
          </w:p>
        </w:tc>
        <w:tc>
          <w:tcPr>
            <w:tcW w:w="1245" w:type="dxa"/>
            <w:shd w:val="clear" w:color="auto" w:fill="auto"/>
            <w:vAlign w:val="center"/>
          </w:tcPr>
          <w:p w14:paraId="5FAE01D4" w14:textId="77777777" w:rsidR="0072097E" w:rsidRPr="002D22C8" w:rsidRDefault="00000000">
            <w:pPr>
              <w:widowControl w:val="0"/>
              <w:spacing w:line="360" w:lineRule="auto"/>
              <w:jc w:val="right"/>
              <w:rPr>
                <w:color w:val="000000"/>
              </w:rPr>
            </w:pPr>
            <w:r w:rsidRPr="002D22C8">
              <w:rPr>
                <w:color w:val="000000"/>
              </w:rPr>
              <w:t>1,646,775,480</w:t>
            </w:r>
          </w:p>
        </w:tc>
        <w:tc>
          <w:tcPr>
            <w:tcW w:w="1284" w:type="dxa"/>
            <w:shd w:val="clear" w:color="auto" w:fill="auto"/>
            <w:vAlign w:val="center"/>
          </w:tcPr>
          <w:p w14:paraId="318900BA" w14:textId="77777777" w:rsidR="0072097E" w:rsidRPr="002D22C8" w:rsidRDefault="00000000">
            <w:pPr>
              <w:widowControl w:val="0"/>
              <w:spacing w:line="360" w:lineRule="auto"/>
              <w:jc w:val="right"/>
              <w:rPr>
                <w:color w:val="000000"/>
              </w:rPr>
            </w:pPr>
            <w:r w:rsidRPr="002D22C8">
              <w:rPr>
                <w:color w:val="000000"/>
              </w:rPr>
              <w:t>26.2%</w:t>
            </w:r>
          </w:p>
        </w:tc>
        <w:tc>
          <w:tcPr>
            <w:tcW w:w="1126" w:type="dxa"/>
            <w:shd w:val="clear" w:color="auto" w:fill="auto"/>
            <w:vAlign w:val="center"/>
          </w:tcPr>
          <w:p w14:paraId="6FEDA9D2" w14:textId="77777777" w:rsidR="0072097E" w:rsidRPr="002D22C8" w:rsidRDefault="00000000">
            <w:pPr>
              <w:widowControl w:val="0"/>
              <w:spacing w:line="360" w:lineRule="auto"/>
              <w:jc w:val="right"/>
              <w:rPr>
                <w:color w:val="000000"/>
              </w:rPr>
            </w:pPr>
            <w:r w:rsidRPr="002D22C8">
              <w:rPr>
                <w:color w:val="000000"/>
              </w:rPr>
              <w:t>587,606,047</w:t>
            </w:r>
          </w:p>
        </w:tc>
        <w:tc>
          <w:tcPr>
            <w:tcW w:w="1133" w:type="dxa"/>
            <w:shd w:val="clear" w:color="auto" w:fill="auto"/>
            <w:vAlign w:val="center"/>
          </w:tcPr>
          <w:p w14:paraId="0B98DDB8" w14:textId="77777777" w:rsidR="0072097E" w:rsidRPr="002D22C8" w:rsidRDefault="00000000">
            <w:pPr>
              <w:widowControl w:val="0"/>
              <w:spacing w:line="360" w:lineRule="auto"/>
              <w:jc w:val="right"/>
              <w:rPr>
                <w:color w:val="000000"/>
              </w:rPr>
            </w:pPr>
            <w:r w:rsidRPr="002D22C8">
              <w:rPr>
                <w:color w:val="000000"/>
              </w:rPr>
              <w:t>371,312,721</w:t>
            </w:r>
          </w:p>
        </w:tc>
        <w:tc>
          <w:tcPr>
            <w:tcW w:w="1135" w:type="dxa"/>
            <w:shd w:val="clear" w:color="auto" w:fill="auto"/>
            <w:vAlign w:val="center"/>
          </w:tcPr>
          <w:p w14:paraId="027E9C36" w14:textId="77777777" w:rsidR="0072097E" w:rsidRPr="002D22C8" w:rsidRDefault="00000000">
            <w:pPr>
              <w:widowControl w:val="0"/>
              <w:spacing w:line="360" w:lineRule="auto"/>
              <w:jc w:val="right"/>
              <w:rPr>
                <w:color w:val="000000"/>
              </w:rPr>
            </w:pPr>
            <w:r w:rsidRPr="002D22C8">
              <w:rPr>
                <w:color w:val="000000"/>
              </w:rPr>
              <w:t>436,025,549</w:t>
            </w:r>
          </w:p>
        </w:tc>
        <w:tc>
          <w:tcPr>
            <w:tcW w:w="991" w:type="dxa"/>
            <w:shd w:val="clear" w:color="auto" w:fill="auto"/>
            <w:vAlign w:val="center"/>
          </w:tcPr>
          <w:p w14:paraId="4E3B7837" w14:textId="77777777" w:rsidR="0072097E" w:rsidRPr="002D22C8" w:rsidRDefault="00000000">
            <w:pPr>
              <w:widowControl w:val="0"/>
              <w:spacing w:line="360" w:lineRule="auto"/>
              <w:jc w:val="right"/>
              <w:rPr>
                <w:color w:val="000000"/>
              </w:rPr>
            </w:pPr>
            <w:r w:rsidRPr="002D22C8">
              <w:rPr>
                <w:color w:val="000000"/>
              </w:rPr>
              <w:t>251,831,163</w:t>
            </w:r>
          </w:p>
        </w:tc>
      </w:tr>
      <w:tr w:rsidR="0072097E" w:rsidRPr="002D22C8" w14:paraId="265F9BBC" w14:textId="77777777" w:rsidTr="002D22C8">
        <w:trPr>
          <w:trHeight w:val="280"/>
          <w:jc w:val="center"/>
        </w:trPr>
        <w:tc>
          <w:tcPr>
            <w:tcW w:w="2294" w:type="dxa"/>
            <w:shd w:val="clear" w:color="auto" w:fill="auto"/>
            <w:vAlign w:val="center"/>
          </w:tcPr>
          <w:p w14:paraId="727A1214" w14:textId="77777777" w:rsidR="0072097E" w:rsidRPr="002D22C8" w:rsidRDefault="00000000">
            <w:pPr>
              <w:widowControl w:val="0"/>
              <w:spacing w:line="360" w:lineRule="auto"/>
              <w:rPr>
                <w:color w:val="000000"/>
              </w:rPr>
            </w:pPr>
            <w:r w:rsidRPr="002D22C8">
              <w:rPr>
                <w:color w:val="000000"/>
              </w:rPr>
              <w:t>Residencial</w:t>
            </w:r>
          </w:p>
        </w:tc>
        <w:tc>
          <w:tcPr>
            <w:tcW w:w="1245" w:type="dxa"/>
            <w:shd w:val="clear" w:color="auto" w:fill="auto"/>
            <w:vAlign w:val="center"/>
          </w:tcPr>
          <w:p w14:paraId="50147A68" w14:textId="77777777" w:rsidR="0072097E" w:rsidRPr="002D22C8" w:rsidRDefault="00000000">
            <w:pPr>
              <w:widowControl w:val="0"/>
              <w:spacing w:line="360" w:lineRule="auto"/>
              <w:jc w:val="right"/>
              <w:rPr>
                <w:color w:val="000000"/>
              </w:rPr>
            </w:pPr>
            <w:r w:rsidRPr="002D22C8">
              <w:rPr>
                <w:color w:val="000000"/>
              </w:rPr>
              <w:t>2,818,838,850</w:t>
            </w:r>
          </w:p>
        </w:tc>
        <w:tc>
          <w:tcPr>
            <w:tcW w:w="1284" w:type="dxa"/>
            <w:shd w:val="clear" w:color="auto" w:fill="auto"/>
            <w:vAlign w:val="center"/>
          </w:tcPr>
          <w:p w14:paraId="3CA8CC69" w14:textId="77777777" w:rsidR="0072097E" w:rsidRPr="002D22C8" w:rsidRDefault="00000000">
            <w:pPr>
              <w:widowControl w:val="0"/>
              <w:spacing w:line="360" w:lineRule="auto"/>
              <w:jc w:val="right"/>
              <w:rPr>
                <w:color w:val="000000"/>
              </w:rPr>
            </w:pPr>
            <w:r w:rsidRPr="002D22C8">
              <w:rPr>
                <w:color w:val="000000"/>
              </w:rPr>
              <w:t>44.8%</w:t>
            </w:r>
          </w:p>
        </w:tc>
        <w:tc>
          <w:tcPr>
            <w:tcW w:w="1126" w:type="dxa"/>
            <w:shd w:val="clear" w:color="auto" w:fill="auto"/>
            <w:vAlign w:val="center"/>
          </w:tcPr>
          <w:p w14:paraId="32B6AFD0" w14:textId="77777777" w:rsidR="0072097E" w:rsidRPr="002D22C8" w:rsidRDefault="00000000">
            <w:pPr>
              <w:widowControl w:val="0"/>
              <w:spacing w:line="360" w:lineRule="auto"/>
              <w:jc w:val="right"/>
              <w:rPr>
                <w:color w:val="000000"/>
              </w:rPr>
            </w:pPr>
            <w:r w:rsidRPr="002D22C8">
              <w:rPr>
                <w:color w:val="000000"/>
              </w:rPr>
              <w:t>1,005,824,276</w:t>
            </w:r>
          </w:p>
        </w:tc>
        <w:tc>
          <w:tcPr>
            <w:tcW w:w="1133" w:type="dxa"/>
            <w:shd w:val="clear" w:color="auto" w:fill="auto"/>
            <w:vAlign w:val="center"/>
          </w:tcPr>
          <w:p w14:paraId="258385F9" w14:textId="77777777" w:rsidR="0072097E" w:rsidRPr="002D22C8" w:rsidRDefault="00000000">
            <w:pPr>
              <w:widowControl w:val="0"/>
              <w:spacing w:line="360" w:lineRule="auto"/>
              <w:jc w:val="right"/>
              <w:rPr>
                <w:color w:val="000000"/>
              </w:rPr>
            </w:pPr>
            <w:r w:rsidRPr="002D22C8">
              <w:rPr>
                <w:color w:val="000000"/>
              </w:rPr>
              <w:t>635,587,994</w:t>
            </w:r>
          </w:p>
        </w:tc>
        <w:tc>
          <w:tcPr>
            <w:tcW w:w="1135" w:type="dxa"/>
            <w:shd w:val="clear" w:color="auto" w:fill="auto"/>
            <w:vAlign w:val="center"/>
          </w:tcPr>
          <w:p w14:paraId="41B758E7" w14:textId="77777777" w:rsidR="0072097E" w:rsidRPr="002D22C8" w:rsidRDefault="00000000">
            <w:pPr>
              <w:widowControl w:val="0"/>
              <w:spacing w:line="360" w:lineRule="auto"/>
              <w:jc w:val="right"/>
              <w:rPr>
                <w:color w:val="000000"/>
              </w:rPr>
            </w:pPr>
            <w:r w:rsidRPr="002D22C8">
              <w:rPr>
                <w:color w:val="000000"/>
              </w:rPr>
              <w:t>746,359,034</w:t>
            </w:r>
          </w:p>
        </w:tc>
        <w:tc>
          <w:tcPr>
            <w:tcW w:w="991" w:type="dxa"/>
            <w:shd w:val="clear" w:color="auto" w:fill="auto"/>
            <w:vAlign w:val="center"/>
          </w:tcPr>
          <w:p w14:paraId="31DA7FA5" w14:textId="77777777" w:rsidR="0072097E" w:rsidRPr="002D22C8" w:rsidRDefault="00000000">
            <w:pPr>
              <w:widowControl w:val="0"/>
              <w:spacing w:line="360" w:lineRule="auto"/>
              <w:jc w:val="right"/>
              <w:rPr>
                <w:color w:val="000000"/>
              </w:rPr>
            </w:pPr>
            <w:r w:rsidRPr="002D22C8">
              <w:rPr>
                <w:color w:val="000000"/>
              </w:rPr>
              <w:t>431,067,547</w:t>
            </w:r>
          </w:p>
        </w:tc>
      </w:tr>
      <w:tr w:rsidR="0072097E" w:rsidRPr="002D22C8" w14:paraId="3AFD6B44" w14:textId="77777777" w:rsidTr="002D22C8">
        <w:trPr>
          <w:trHeight w:val="280"/>
          <w:jc w:val="center"/>
        </w:trPr>
        <w:tc>
          <w:tcPr>
            <w:tcW w:w="2294" w:type="dxa"/>
            <w:shd w:val="clear" w:color="auto" w:fill="auto"/>
            <w:vAlign w:val="center"/>
          </w:tcPr>
          <w:p w14:paraId="3CE63704" w14:textId="77777777" w:rsidR="0072097E" w:rsidRPr="002D22C8" w:rsidRDefault="00000000">
            <w:pPr>
              <w:widowControl w:val="0"/>
              <w:spacing w:line="360" w:lineRule="auto"/>
              <w:rPr>
                <w:color w:val="000000"/>
              </w:rPr>
            </w:pPr>
            <w:r w:rsidRPr="002D22C8">
              <w:rPr>
                <w:color w:val="000000"/>
              </w:rPr>
              <w:t>Comercial</w:t>
            </w:r>
          </w:p>
        </w:tc>
        <w:tc>
          <w:tcPr>
            <w:tcW w:w="1245" w:type="dxa"/>
            <w:shd w:val="clear" w:color="auto" w:fill="auto"/>
            <w:vAlign w:val="center"/>
          </w:tcPr>
          <w:p w14:paraId="66D96560" w14:textId="77777777" w:rsidR="0072097E" w:rsidRPr="002D22C8" w:rsidRDefault="00000000">
            <w:pPr>
              <w:widowControl w:val="0"/>
              <w:spacing w:line="360" w:lineRule="auto"/>
              <w:jc w:val="right"/>
              <w:rPr>
                <w:color w:val="000000"/>
              </w:rPr>
            </w:pPr>
            <w:r w:rsidRPr="002D22C8">
              <w:rPr>
                <w:color w:val="000000"/>
              </w:rPr>
              <w:t>239,334,910</w:t>
            </w:r>
          </w:p>
        </w:tc>
        <w:tc>
          <w:tcPr>
            <w:tcW w:w="1284" w:type="dxa"/>
            <w:shd w:val="clear" w:color="auto" w:fill="auto"/>
            <w:vAlign w:val="center"/>
          </w:tcPr>
          <w:p w14:paraId="3D12F44F" w14:textId="77777777" w:rsidR="0072097E" w:rsidRPr="002D22C8" w:rsidRDefault="00000000">
            <w:pPr>
              <w:widowControl w:val="0"/>
              <w:spacing w:line="360" w:lineRule="auto"/>
              <w:jc w:val="right"/>
              <w:rPr>
                <w:color w:val="000000"/>
              </w:rPr>
            </w:pPr>
            <w:r w:rsidRPr="002D22C8">
              <w:rPr>
                <w:color w:val="000000"/>
              </w:rPr>
              <w:t>3.8%</w:t>
            </w:r>
          </w:p>
        </w:tc>
        <w:tc>
          <w:tcPr>
            <w:tcW w:w="1126" w:type="dxa"/>
            <w:shd w:val="clear" w:color="auto" w:fill="auto"/>
            <w:vAlign w:val="center"/>
          </w:tcPr>
          <w:p w14:paraId="1B334BC6" w14:textId="77777777" w:rsidR="0072097E" w:rsidRPr="002D22C8" w:rsidRDefault="00000000">
            <w:pPr>
              <w:widowControl w:val="0"/>
              <w:spacing w:line="360" w:lineRule="auto"/>
              <w:jc w:val="right"/>
              <w:rPr>
                <w:color w:val="000000"/>
              </w:rPr>
            </w:pPr>
            <w:r w:rsidRPr="002D22C8">
              <w:rPr>
                <w:color w:val="000000"/>
              </w:rPr>
              <w:t>85,400,009</w:t>
            </w:r>
          </w:p>
        </w:tc>
        <w:tc>
          <w:tcPr>
            <w:tcW w:w="1133" w:type="dxa"/>
            <w:shd w:val="clear" w:color="auto" w:fill="auto"/>
            <w:vAlign w:val="center"/>
          </w:tcPr>
          <w:p w14:paraId="19EEB2F0" w14:textId="77777777" w:rsidR="0072097E" w:rsidRPr="002D22C8" w:rsidRDefault="00000000">
            <w:pPr>
              <w:widowControl w:val="0"/>
              <w:spacing w:line="360" w:lineRule="auto"/>
              <w:jc w:val="right"/>
              <w:rPr>
                <w:color w:val="000000"/>
              </w:rPr>
            </w:pPr>
            <w:r w:rsidRPr="002D22C8">
              <w:rPr>
                <w:color w:val="000000"/>
              </w:rPr>
              <w:t>53,964,914</w:t>
            </w:r>
          </w:p>
        </w:tc>
        <w:tc>
          <w:tcPr>
            <w:tcW w:w="1135" w:type="dxa"/>
            <w:shd w:val="clear" w:color="auto" w:fill="auto"/>
            <w:vAlign w:val="center"/>
          </w:tcPr>
          <w:p w14:paraId="75536A04" w14:textId="77777777" w:rsidR="0072097E" w:rsidRPr="002D22C8" w:rsidRDefault="00000000">
            <w:pPr>
              <w:widowControl w:val="0"/>
              <w:spacing w:line="360" w:lineRule="auto"/>
              <w:jc w:val="right"/>
              <w:rPr>
                <w:color w:val="000000"/>
              </w:rPr>
            </w:pPr>
            <w:r w:rsidRPr="002D22C8">
              <w:rPr>
                <w:color w:val="000000"/>
              </w:rPr>
              <w:t>63,369,984</w:t>
            </w:r>
          </w:p>
        </w:tc>
        <w:tc>
          <w:tcPr>
            <w:tcW w:w="991" w:type="dxa"/>
            <w:shd w:val="clear" w:color="auto" w:fill="auto"/>
            <w:vAlign w:val="center"/>
          </w:tcPr>
          <w:p w14:paraId="1C170A93" w14:textId="77777777" w:rsidR="0072097E" w:rsidRPr="002D22C8" w:rsidRDefault="00000000">
            <w:pPr>
              <w:widowControl w:val="0"/>
              <w:spacing w:line="360" w:lineRule="auto"/>
              <w:jc w:val="right"/>
              <w:rPr>
                <w:color w:val="000000"/>
              </w:rPr>
            </w:pPr>
            <w:r w:rsidRPr="002D22C8">
              <w:rPr>
                <w:color w:val="000000"/>
              </w:rPr>
              <w:t>36,600,004</w:t>
            </w:r>
          </w:p>
        </w:tc>
      </w:tr>
      <w:tr w:rsidR="0072097E" w:rsidRPr="002D22C8" w14:paraId="5174CA1E" w14:textId="77777777" w:rsidTr="002D22C8">
        <w:trPr>
          <w:trHeight w:val="280"/>
          <w:jc w:val="center"/>
        </w:trPr>
        <w:tc>
          <w:tcPr>
            <w:tcW w:w="2294" w:type="dxa"/>
            <w:shd w:val="clear" w:color="auto" w:fill="auto"/>
            <w:vAlign w:val="center"/>
          </w:tcPr>
          <w:p w14:paraId="2708DC95" w14:textId="77777777" w:rsidR="0072097E" w:rsidRPr="002D22C8" w:rsidRDefault="00000000">
            <w:pPr>
              <w:widowControl w:val="0"/>
              <w:spacing w:line="360" w:lineRule="auto"/>
              <w:rPr>
                <w:color w:val="000000"/>
              </w:rPr>
            </w:pPr>
            <w:r w:rsidRPr="002D22C8">
              <w:rPr>
                <w:color w:val="000000"/>
              </w:rPr>
              <w:t>Gran comercial-Pequeño Industrial</w:t>
            </w:r>
          </w:p>
        </w:tc>
        <w:tc>
          <w:tcPr>
            <w:tcW w:w="1245" w:type="dxa"/>
            <w:shd w:val="clear" w:color="auto" w:fill="auto"/>
            <w:vAlign w:val="center"/>
          </w:tcPr>
          <w:p w14:paraId="1A03018B" w14:textId="77777777" w:rsidR="0072097E" w:rsidRPr="002D22C8" w:rsidRDefault="00000000">
            <w:pPr>
              <w:widowControl w:val="0"/>
              <w:spacing w:line="360" w:lineRule="auto"/>
              <w:jc w:val="right"/>
              <w:rPr>
                <w:color w:val="000000"/>
              </w:rPr>
            </w:pPr>
            <w:r w:rsidRPr="002D22C8">
              <w:rPr>
                <w:color w:val="000000"/>
              </w:rPr>
              <w:t>483,475,032</w:t>
            </w:r>
          </w:p>
        </w:tc>
        <w:tc>
          <w:tcPr>
            <w:tcW w:w="1284" w:type="dxa"/>
            <w:shd w:val="clear" w:color="auto" w:fill="auto"/>
            <w:vAlign w:val="center"/>
          </w:tcPr>
          <w:p w14:paraId="005EFAEE" w14:textId="77777777" w:rsidR="0072097E" w:rsidRPr="002D22C8" w:rsidRDefault="00000000">
            <w:pPr>
              <w:widowControl w:val="0"/>
              <w:spacing w:line="360" w:lineRule="auto"/>
              <w:jc w:val="right"/>
              <w:rPr>
                <w:color w:val="000000"/>
              </w:rPr>
            </w:pPr>
            <w:r w:rsidRPr="002D22C8">
              <w:rPr>
                <w:color w:val="000000"/>
              </w:rPr>
              <w:t>7.7%</w:t>
            </w:r>
          </w:p>
        </w:tc>
        <w:tc>
          <w:tcPr>
            <w:tcW w:w="1126" w:type="dxa"/>
            <w:shd w:val="clear" w:color="auto" w:fill="auto"/>
            <w:vAlign w:val="center"/>
          </w:tcPr>
          <w:p w14:paraId="56CD303C" w14:textId="77777777" w:rsidR="0072097E" w:rsidRPr="002D22C8" w:rsidRDefault="00000000">
            <w:pPr>
              <w:widowControl w:val="0"/>
              <w:spacing w:line="360" w:lineRule="auto"/>
              <w:jc w:val="right"/>
              <w:rPr>
                <w:color w:val="000000"/>
              </w:rPr>
            </w:pPr>
            <w:r w:rsidRPr="002D22C8">
              <w:rPr>
                <w:color w:val="000000"/>
              </w:rPr>
              <w:t>172,514,624</w:t>
            </w:r>
          </w:p>
        </w:tc>
        <w:tc>
          <w:tcPr>
            <w:tcW w:w="1133" w:type="dxa"/>
            <w:shd w:val="clear" w:color="auto" w:fill="auto"/>
            <w:vAlign w:val="center"/>
          </w:tcPr>
          <w:p w14:paraId="18C05B59" w14:textId="77777777" w:rsidR="0072097E" w:rsidRPr="002D22C8" w:rsidRDefault="00000000">
            <w:pPr>
              <w:widowControl w:val="0"/>
              <w:spacing w:line="360" w:lineRule="auto"/>
              <w:jc w:val="right"/>
              <w:rPr>
                <w:color w:val="000000"/>
              </w:rPr>
            </w:pPr>
            <w:r w:rsidRPr="002D22C8">
              <w:rPr>
                <w:color w:val="000000"/>
              </w:rPr>
              <w:t>109,013,300</w:t>
            </w:r>
          </w:p>
        </w:tc>
        <w:tc>
          <w:tcPr>
            <w:tcW w:w="1135" w:type="dxa"/>
            <w:shd w:val="clear" w:color="auto" w:fill="auto"/>
            <w:vAlign w:val="center"/>
          </w:tcPr>
          <w:p w14:paraId="267D1643" w14:textId="77777777" w:rsidR="0072097E" w:rsidRPr="002D22C8" w:rsidRDefault="00000000">
            <w:pPr>
              <w:widowControl w:val="0"/>
              <w:spacing w:line="360" w:lineRule="auto"/>
              <w:jc w:val="right"/>
              <w:rPr>
                <w:color w:val="000000"/>
              </w:rPr>
            </w:pPr>
            <w:r w:rsidRPr="002D22C8">
              <w:rPr>
                <w:color w:val="000000"/>
              </w:rPr>
              <w:t>128,012,269</w:t>
            </w:r>
          </w:p>
        </w:tc>
        <w:tc>
          <w:tcPr>
            <w:tcW w:w="991" w:type="dxa"/>
            <w:shd w:val="clear" w:color="auto" w:fill="auto"/>
            <w:vAlign w:val="center"/>
          </w:tcPr>
          <w:p w14:paraId="27CBD345" w14:textId="77777777" w:rsidR="0072097E" w:rsidRPr="002D22C8" w:rsidRDefault="00000000">
            <w:pPr>
              <w:widowControl w:val="0"/>
              <w:spacing w:line="360" w:lineRule="auto"/>
              <w:jc w:val="right"/>
              <w:rPr>
                <w:color w:val="000000"/>
              </w:rPr>
            </w:pPr>
            <w:r w:rsidRPr="002D22C8">
              <w:rPr>
                <w:color w:val="000000"/>
              </w:rPr>
              <w:t>73,934,839</w:t>
            </w:r>
          </w:p>
        </w:tc>
      </w:tr>
      <w:tr w:rsidR="0072097E" w:rsidRPr="002D22C8" w14:paraId="63952287" w14:textId="77777777" w:rsidTr="002D22C8">
        <w:trPr>
          <w:trHeight w:val="280"/>
          <w:jc w:val="center"/>
        </w:trPr>
        <w:tc>
          <w:tcPr>
            <w:tcW w:w="2294" w:type="dxa"/>
            <w:shd w:val="clear" w:color="auto" w:fill="auto"/>
            <w:vAlign w:val="center"/>
          </w:tcPr>
          <w:p w14:paraId="087AC8C1" w14:textId="77777777" w:rsidR="0072097E" w:rsidRPr="002D22C8" w:rsidRDefault="00000000">
            <w:pPr>
              <w:widowControl w:val="0"/>
              <w:spacing w:line="360" w:lineRule="auto"/>
              <w:rPr>
                <w:color w:val="000000"/>
              </w:rPr>
            </w:pPr>
            <w:r w:rsidRPr="002D22C8">
              <w:rPr>
                <w:color w:val="000000"/>
              </w:rPr>
              <w:t>Gran Industrial</w:t>
            </w:r>
          </w:p>
        </w:tc>
        <w:tc>
          <w:tcPr>
            <w:tcW w:w="1245" w:type="dxa"/>
            <w:shd w:val="clear" w:color="auto" w:fill="auto"/>
            <w:vAlign w:val="center"/>
          </w:tcPr>
          <w:p w14:paraId="69743E25" w14:textId="77777777" w:rsidR="0072097E" w:rsidRPr="002D22C8" w:rsidRDefault="00000000">
            <w:pPr>
              <w:widowControl w:val="0"/>
              <w:spacing w:line="360" w:lineRule="auto"/>
              <w:jc w:val="right"/>
              <w:rPr>
                <w:color w:val="000000"/>
              </w:rPr>
            </w:pPr>
            <w:r w:rsidRPr="002D22C8">
              <w:rPr>
                <w:color w:val="000000"/>
              </w:rPr>
              <w:t>1,058,195,206</w:t>
            </w:r>
          </w:p>
        </w:tc>
        <w:tc>
          <w:tcPr>
            <w:tcW w:w="1284" w:type="dxa"/>
            <w:shd w:val="clear" w:color="auto" w:fill="auto"/>
            <w:vAlign w:val="center"/>
          </w:tcPr>
          <w:p w14:paraId="2B810DD3" w14:textId="77777777" w:rsidR="0072097E" w:rsidRPr="002D22C8" w:rsidRDefault="00000000">
            <w:pPr>
              <w:widowControl w:val="0"/>
              <w:spacing w:line="360" w:lineRule="auto"/>
              <w:jc w:val="right"/>
              <w:rPr>
                <w:color w:val="000000"/>
              </w:rPr>
            </w:pPr>
            <w:r w:rsidRPr="002D22C8">
              <w:rPr>
                <w:color w:val="000000"/>
              </w:rPr>
              <w:t>16.8%</w:t>
            </w:r>
          </w:p>
        </w:tc>
        <w:tc>
          <w:tcPr>
            <w:tcW w:w="1126" w:type="dxa"/>
            <w:shd w:val="clear" w:color="auto" w:fill="auto"/>
            <w:vAlign w:val="center"/>
          </w:tcPr>
          <w:p w14:paraId="10FC1F36" w14:textId="77777777" w:rsidR="0072097E" w:rsidRPr="002D22C8" w:rsidRDefault="00000000">
            <w:pPr>
              <w:widowControl w:val="0"/>
              <w:spacing w:line="360" w:lineRule="auto"/>
              <w:jc w:val="right"/>
              <w:rPr>
                <w:color w:val="000000"/>
              </w:rPr>
            </w:pPr>
            <w:r w:rsidRPr="002D22C8">
              <w:rPr>
                <w:color w:val="000000"/>
              </w:rPr>
              <w:t>377,587,540</w:t>
            </w:r>
          </w:p>
        </w:tc>
        <w:tc>
          <w:tcPr>
            <w:tcW w:w="1133" w:type="dxa"/>
            <w:shd w:val="clear" w:color="auto" w:fill="auto"/>
            <w:vAlign w:val="center"/>
          </w:tcPr>
          <w:p w14:paraId="33462000" w14:textId="77777777" w:rsidR="0072097E" w:rsidRPr="002D22C8" w:rsidRDefault="00000000">
            <w:pPr>
              <w:widowControl w:val="0"/>
              <w:spacing w:line="360" w:lineRule="auto"/>
              <w:jc w:val="right"/>
              <w:rPr>
                <w:color w:val="000000"/>
              </w:rPr>
            </w:pPr>
            <w:r w:rsidRPr="002D22C8">
              <w:rPr>
                <w:color w:val="000000"/>
              </w:rPr>
              <w:t>238,600,432</w:t>
            </w:r>
          </w:p>
        </w:tc>
        <w:tc>
          <w:tcPr>
            <w:tcW w:w="1135" w:type="dxa"/>
            <w:shd w:val="clear" w:color="auto" w:fill="auto"/>
            <w:vAlign w:val="center"/>
          </w:tcPr>
          <w:p w14:paraId="2446817C" w14:textId="77777777" w:rsidR="0072097E" w:rsidRPr="002D22C8" w:rsidRDefault="00000000">
            <w:pPr>
              <w:widowControl w:val="0"/>
              <w:spacing w:line="360" w:lineRule="auto"/>
              <w:jc w:val="right"/>
              <w:rPr>
                <w:color w:val="000000"/>
              </w:rPr>
            </w:pPr>
            <w:r w:rsidRPr="002D22C8">
              <w:rPr>
                <w:color w:val="000000"/>
              </w:rPr>
              <w:t>280,184,002</w:t>
            </w:r>
          </w:p>
        </w:tc>
        <w:tc>
          <w:tcPr>
            <w:tcW w:w="991" w:type="dxa"/>
            <w:shd w:val="clear" w:color="auto" w:fill="auto"/>
            <w:vAlign w:val="center"/>
          </w:tcPr>
          <w:p w14:paraId="3FE23196" w14:textId="77777777" w:rsidR="0072097E" w:rsidRPr="002D22C8" w:rsidRDefault="00000000">
            <w:pPr>
              <w:widowControl w:val="0"/>
              <w:spacing w:line="360" w:lineRule="auto"/>
              <w:jc w:val="right"/>
              <w:rPr>
                <w:color w:val="000000"/>
              </w:rPr>
            </w:pPr>
            <w:r w:rsidRPr="002D22C8">
              <w:rPr>
                <w:color w:val="000000"/>
              </w:rPr>
              <w:t>161,823,231</w:t>
            </w:r>
          </w:p>
        </w:tc>
      </w:tr>
      <w:tr w:rsidR="0072097E" w:rsidRPr="002D22C8" w14:paraId="12B6128E" w14:textId="77777777" w:rsidTr="002D22C8">
        <w:trPr>
          <w:trHeight w:val="280"/>
          <w:jc w:val="center"/>
        </w:trPr>
        <w:tc>
          <w:tcPr>
            <w:tcW w:w="2294" w:type="dxa"/>
            <w:shd w:val="clear" w:color="auto" w:fill="auto"/>
            <w:vAlign w:val="center"/>
          </w:tcPr>
          <w:p w14:paraId="6B5A897B" w14:textId="77777777" w:rsidR="0072097E" w:rsidRPr="002D22C8" w:rsidRDefault="00000000">
            <w:pPr>
              <w:widowControl w:val="0"/>
              <w:spacing w:line="360" w:lineRule="auto"/>
              <w:rPr>
                <w:color w:val="000000"/>
              </w:rPr>
            </w:pPr>
            <w:r w:rsidRPr="002D22C8">
              <w:rPr>
                <w:color w:val="000000"/>
              </w:rPr>
              <w:t>GU1</w:t>
            </w:r>
          </w:p>
        </w:tc>
        <w:tc>
          <w:tcPr>
            <w:tcW w:w="1245" w:type="dxa"/>
            <w:shd w:val="clear" w:color="auto" w:fill="auto"/>
            <w:vAlign w:val="center"/>
          </w:tcPr>
          <w:p w14:paraId="0B5917DE" w14:textId="77777777" w:rsidR="0072097E" w:rsidRPr="002D22C8" w:rsidRDefault="00000000">
            <w:pPr>
              <w:widowControl w:val="0"/>
              <w:spacing w:line="360" w:lineRule="auto"/>
              <w:jc w:val="right"/>
              <w:rPr>
                <w:color w:val="000000"/>
              </w:rPr>
            </w:pPr>
            <w:r w:rsidRPr="002D22C8">
              <w:rPr>
                <w:color w:val="000000"/>
              </w:rPr>
              <w:t>39,326,943</w:t>
            </w:r>
          </w:p>
        </w:tc>
        <w:tc>
          <w:tcPr>
            <w:tcW w:w="1284" w:type="dxa"/>
            <w:shd w:val="clear" w:color="auto" w:fill="auto"/>
            <w:vAlign w:val="center"/>
          </w:tcPr>
          <w:p w14:paraId="73F54D94" w14:textId="77777777" w:rsidR="0072097E" w:rsidRPr="002D22C8" w:rsidRDefault="00000000">
            <w:pPr>
              <w:widowControl w:val="0"/>
              <w:spacing w:line="360" w:lineRule="auto"/>
              <w:jc w:val="right"/>
              <w:rPr>
                <w:color w:val="000000"/>
              </w:rPr>
            </w:pPr>
            <w:r w:rsidRPr="002D22C8">
              <w:rPr>
                <w:color w:val="000000"/>
              </w:rPr>
              <w:t>0.6%</w:t>
            </w:r>
          </w:p>
        </w:tc>
        <w:tc>
          <w:tcPr>
            <w:tcW w:w="1126" w:type="dxa"/>
            <w:shd w:val="clear" w:color="auto" w:fill="auto"/>
            <w:vAlign w:val="center"/>
          </w:tcPr>
          <w:p w14:paraId="24AE0DDE" w14:textId="77777777" w:rsidR="0072097E" w:rsidRPr="002D22C8" w:rsidRDefault="00000000">
            <w:pPr>
              <w:widowControl w:val="0"/>
              <w:spacing w:line="360" w:lineRule="auto"/>
              <w:jc w:val="right"/>
              <w:rPr>
                <w:color w:val="000000"/>
              </w:rPr>
            </w:pPr>
            <w:r w:rsidRPr="002D22C8">
              <w:rPr>
                <w:color w:val="000000"/>
              </w:rPr>
              <w:t>14,032,726</w:t>
            </w:r>
          </w:p>
        </w:tc>
        <w:tc>
          <w:tcPr>
            <w:tcW w:w="1133" w:type="dxa"/>
            <w:shd w:val="clear" w:color="auto" w:fill="auto"/>
            <w:vAlign w:val="center"/>
          </w:tcPr>
          <w:p w14:paraId="4456D517" w14:textId="77777777" w:rsidR="0072097E" w:rsidRPr="002D22C8" w:rsidRDefault="00000000">
            <w:pPr>
              <w:widowControl w:val="0"/>
              <w:spacing w:line="360" w:lineRule="auto"/>
              <w:jc w:val="right"/>
              <w:rPr>
                <w:color w:val="000000"/>
              </w:rPr>
            </w:pPr>
            <w:r w:rsidRPr="002D22C8">
              <w:rPr>
                <w:color w:val="000000"/>
              </w:rPr>
              <w:t>8,867,386</w:t>
            </w:r>
          </w:p>
        </w:tc>
        <w:tc>
          <w:tcPr>
            <w:tcW w:w="1135" w:type="dxa"/>
            <w:shd w:val="clear" w:color="auto" w:fill="auto"/>
            <w:vAlign w:val="center"/>
          </w:tcPr>
          <w:p w14:paraId="5239AC38" w14:textId="77777777" w:rsidR="0072097E" w:rsidRPr="002D22C8" w:rsidRDefault="00000000">
            <w:pPr>
              <w:widowControl w:val="0"/>
              <w:spacing w:line="360" w:lineRule="auto"/>
              <w:jc w:val="right"/>
              <w:rPr>
                <w:color w:val="000000"/>
              </w:rPr>
            </w:pPr>
            <w:r w:rsidRPr="002D22C8">
              <w:rPr>
                <w:color w:val="000000"/>
              </w:rPr>
              <w:t>10,412,805</w:t>
            </w:r>
          </w:p>
        </w:tc>
        <w:tc>
          <w:tcPr>
            <w:tcW w:w="991" w:type="dxa"/>
            <w:shd w:val="clear" w:color="auto" w:fill="auto"/>
            <w:vAlign w:val="center"/>
          </w:tcPr>
          <w:p w14:paraId="0990CA85" w14:textId="77777777" w:rsidR="0072097E" w:rsidRPr="002D22C8" w:rsidRDefault="00000000">
            <w:pPr>
              <w:widowControl w:val="0"/>
              <w:spacing w:line="360" w:lineRule="auto"/>
              <w:jc w:val="right"/>
              <w:rPr>
                <w:color w:val="000000"/>
              </w:rPr>
            </w:pPr>
            <w:r w:rsidRPr="002D22C8">
              <w:rPr>
                <w:color w:val="000000"/>
              </w:rPr>
              <w:t>6,014,026</w:t>
            </w:r>
          </w:p>
        </w:tc>
      </w:tr>
      <w:tr w:rsidR="0072097E" w:rsidRPr="002D22C8" w14:paraId="7C92CB13" w14:textId="77777777" w:rsidTr="002D22C8">
        <w:trPr>
          <w:trHeight w:val="280"/>
          <w:jc w:val="center"/>
        </w:trPr>
        <w:tc>
          <w:tcPr>
            <w:tcW w:w="2294" w:type="dxa"/>
            <w:shd w:val="clear" w:color="auto" w:fill="auto"/>
            <w:vAlign w:val="center"/>
          </w:tcPr>
          <w:p w14:paraId="6DF29AF0" w14:textId="77777777" w:rsidR="0072097E" w:rsidRPr="002D22C8" w:rsidRDefault="00000000">
            <w:pPr>
              <w:widowControl w:val="0"/>
              <w:spacing w:line="360" w:lineRule="auto"/>
              <w:rPr>
                <w:color w:val="000000"/>
              </w:rPr>
            </w:pPr>
            <w:proofErr w:type="gramStart"/>
            <w:r w:rsidRPr="002D22C8">
              <w:rPr>
                <w:color w:val="000000"/>
              </w:rPr>
              <w:t>Total</w:t>
            </w:r>
            <w:proofErr w:type="gramEnd"/>
            <w:r w:rsidRPr="002D22C8">
              <w:rPr>
                <w:color w:val="000000"/>
              </w:rPr>
              <w:t xml:space="preserve"> RI por distribución</w:t>
            </w:r>
          </w:p>
        </w:tc>
        <w:tc>
          <w:tcPr>
            <w:tcW w:w="1245" w:type="dxa"/>
            <w:shd w:val="clear" w:color="auto" w:fill="auto"/>
            <w:vAlign w:val="center"/>
          </w:tcPr>
          <w:p w14:paraId="0F2EE2B9" w14:textId="77777777" w:rsidR="0072097E" w:rsidRPr="002D22C8" w:rsidRDefault="00000000">
            <w:pPr>
              <w:widowControl w:val="0"/>
              <w:spacing w:line="360" w:lineRule="auto"/>
              <w:jc w:val="right"/>
              <w:rPr>
                <w:color w:val="000000"/>
              </w:rPr>
            </w:pPr>
            <w:r w:rsidRPr="002D22C8">
              <w:rPr>
                <w:color w:val="000000"/>
              </w:rPr>
              <w:t>4,639,170,941</w:t>
            </w:r>
          </w:p>
        </w:tc>
        <w:tc>
          <w:tcPr>
            <w:tcW w:w="1284" w:type="dxa"/>
            <w:shd w:val="clear" w:color="auto" w:fill="auto"/>
            <w:vAlign w:val="center"/>
          </w:tcPr>
          <w:p w14:paraId="14BC9EAA" w14:textId="77777777" w:rsidR="0072097E" w:rsidRPr="002D22C8" w:rsidRDefault="00000000">
            <w:pPr>
              <w:widowControl w:val="0"/>
              <w:spacing w:line="360" w:lineRule="auto"/>
              <w:jc w:val="right"/>
              <w:rPr>
                <w:color w:val="000000"/>
              </w:rPr>
            </w:pPr>
            <w:r w:rsidRPr="002D22C8">
              <w:rPr>
                <w:color w:val="000000"/>
              </w:rPr>
              <w:t>73.8%</w:t>
            </w:r>
          </w:p>
        </w:tc>
        <w:tc>
          <w:tcPr>
            <w:tcW w:w="1126" w:type="dxa"/>
            <w:shd w:val="clear" w:color="auto" w:fill="auto"/>
            <w:vAlign w:val="center"/>
          </w:tcPr>
          <w:p w14:paraId="231F8FDD" w14:textId="77777777" w:rsidR="0072097E" w:rsidRPr="002D22C8" w:rsidRDefault="00000000">
            <w:pPr>
              <w:widowControl w:val="0"/>
              <w:spacing w:line="360" w:lineRule="auto"/>
              <w:jc w:val="right"/>
              <w:rPr>
                <w:color w:val="000000"/>
              </w:rPr>
            </w:pPr>
            <w:r w:rsidRPr="002D22C8">
              <w:rPr>
                <w:color w:val="000000"/>
              </w:rPr>
              <w:t>1,655,359,175</w:t>
            </w:r>
          </w:p>
        </w:tc>
        <w:tc>
          <w:tcPr>
            <w:tcW w:w="1133" w:type="dxa"/>
            <w:shd w:val="clear" w:color="auto" w:fill="auto"/>
            <w:vAlign w:val="center"/>
          </w:tcPr>
          <w:p w14:paraId="0CDEDC4B" w14:textId="77777777" w:rsidR="0072097E" w:rsidRPr="002D22C8" w:rsidRDefault="00000000">
            <w:pPr>
              <w:widowControl w:val="0"/>
              <w:spacing w:line="360" w:lineRule="auto"/>
              <w:jc w:val="right"/>
              <w:rPr>
                <w:color w:val="000000"/>
              </w:rPr>
            </w:pPr>
            <w:r w:rsidRPr="002D22C8">
              <w:rPr>
                <w:color w:val="000000"/>
              </w:rPr>
              <w:t>1,046,034,026</w:t>
            </w:r>
          </w:p>
        </w:tc>
        <w:tc>
          <w:tcPr>
            <w:tcW w:w="1135" w:type="dxa"/>
            <w:shd w:val="clear" w:color="auto" w:fill="auto"/>
            <w:vAlign w:val="center"/>
          </w:tcPr>
          <w:p w14:paraId="5CB5D5E7" w14:textId="77777777" w:rsidR="0072097E" w:rsidRPr="002D22C8" w:rsidRDefault="00000000">
            <w:pPr>
              <w:widowControl w:val="0"/>
              <w:spacing w:line="360" w:lineRule="auto"/>
              <w:jc w:val="right"/>
              <w:rPr>
                <w:color w:val="000000"/>
              </w:rPr>
            </w:pPr>
            <w:r w:rsidRPr="002D22C8">
              <w:rPr>
                <w:color w:val="000000"/>
              </w:rPr>
              <w:t>1,228,338,094</w:t>
            </w:r>
          </w:p>
        </w:tc>
        <w:tc>
          <w:tcPr>
            <w:tcW w:w="991" w:type="dxa"/>
            <w:shd w:val="clear" w:color="auto" w:fill="auto"/>
            <w:vAlign w:val="center"/>
          </w:tcPr>
          <w:p w14:paraId="46DBE2A6" w14:textId="77777777" w:rsidR="0072097E" w:rsidRPr="002D22C8" w:rsidRDefault="00000000">
            <w:pPr>
              <w:widowControl w:val="0"/>
              <w:spacing w:line="360" w:lineRule="auto"/>
              <w:jc w:val="right"/>
              <w:rPr>
                <w:color w:val="000000"/>
              </w:rPr>
            </w:pPr>
            <w:r w:rsidRPr="002D22C8">
              <w:rPr>
                <w:color w:val="000000"/>
              </w:rPr>
              <w:t>709,439,646</w:t>
            </w:r>
          </w:p>
        </w:tc>
      </w:tr>
      <w:tr w:rsidR="0072097E" w:rsidRPr="002D22C8" w14:paraId="1ADB86BF" w14:textId="77777777" w:rsidTr="002D22C8">
        <w:trPr>
          <w:trHeight w:val="360"/>
          <w:jc w:val="center"/>
        </w:trPr>
        <w:tc>
          <w:tcPr>
            <w:tcW w:w="2294" w:type="dxa"/>
            <w:shd w:val="clear" w:color="auto" w:fill="auto"/>
            <w:vAlign w:val="center"/>
          </w:tcPr>
          <w:p w14:paraId="268590C3" w14:textId="77777777" w:rsidR="0072097E" w:rsidRPr="002D22C8" w:rsidRDefault="00000000">
            <w:pPr>
              <w:widowControl w:val="0"/>
              <w:spacing w:line="360" w:lineRule="auto"/>
              <w:rPr>
                <w:color w:val="000000"/>
              </w:rPr>
            </w:pPr>
            <w:r w:rsidRPr="002D22C8">
              <w:rPr>
                <w:color w:val="000000"/>
              </w:rPr>
              <w:lastRenderedPageBreak/>
              <w:t>RI Total</w:t>
            </w:r>
          </w:p>
        </w:tc>
        <w:tc>
          <w:tcPr>
            <w:tcW w:w="1245" w:type="dxa"/>
            <w:shd w:val="clear" w:color="auto" w:fill="auto"/>
            <w:vAlign w:val="center"/>
          </w:tcPr>
          <w:p w14:paraId="6D0F623A" w14:textId="77777777" w:rsidR="0072097E" w:rsidRPr="002D22C8" w:rsidRDefault="00000000">
            <w:pPr>
              <w:widowControl w:val="0"/>
              <w:spacing w:line="360" w:lineRule="auto"/>
              <w:jc w:val="right"/>
              <w:rPr>
                <w:color w:val="000000"/>
              </w:rPr>
            </w:pPr>
            <w:r w:rsidRPr="002D22C8">
              <w:rPr>
                <w:color w:val="000000"/>
              </w:rPr>
              <w:t>6,285,946,421</w:t>
            </w:r>
            <w:r w:rsidRPr="002D22C8">
              <w:rPr>
                <w:color w:val="000000"/>
                <w:vertAlign w:val="superscript"/>
              </w:rPr>
              <w:t>1</w:t>
            </w:r>
          </w:p>
        </w:tc>
        <w:tc>
          <w:tcPr>
            <w:tcW w:w="1284" w:type="dxa"/>
            <w:shd w:val="clear" w:color="auto" w:fill="auto"/>
            <w:vAlign w:val="center"/>
          </w:tcPr>
          <w:p w14:paraId="02383FAA" w14:textId="77777777" w:rsidR="0072097E" w:rsidRPr="002D22C8" w:rsidRDefault="00000000">
            <w:pPr>
              <w:widowControl w:val="0"/>
              <w:spacing w:line="360" w:lineRule="auto"/>
              <w:jc w:val="right"/>
              <w:rPr>
                <w:color w:val="000000"/>
              </w:rPr>
            </w:pPr>
            <w:r w:rsidRPr="002D22C8">
              <w:rPr>
                <w:color w:val="000000"/>
              </w:rPr>
              <w:t>100%</w:t>
            </w:r>
          </w:p>
        </w:tc>
        <w:tc>
          <w:tcPr>
            <w:tcW w:w="1126" w:type="dxa"/>
            <w:shd w:val="clear" w:color="auto" w:fill="auto"/>
            <w:vAlign w:val="center"/>
          </w:tcPr>
          <w:p w14:paraId="42EF0226" w14:textId="77777777" w:rsidR="0072097E" w:rsidRPr="002D22C8" w:rsidRDefault="00000000">
            <w:pPr>
              <w:widowControl w:val="0"/>
              <w:spacing w:line="360" w:lineRule="auto"/>
              <w:jc w:val="right"/>
              <w:rPr>
                <w:color w:val="000000"/>
              </w:rPr>
            </w:pPr>
            <w:r w:rsidRPr="002D22C8">
              <w:rPr>
                <w:color w:val="000000"/>
              </w:rPr>
              <w:t>2,242,965,222</w:t>
            </w:r>
          </w:p>
        </w:tc>
        <w:tc>
          <w:tcPr>
            <w:tcW w:w="1133" w:type="dxa"/>
            <w:shd w:val="clear" w:color="auto" w:fill="auto"/>
            <w:vAlign w:val="center"/>
          </w:tcPr>
          <w:p w14:paraId="663237C8" w14:textId="77777777" w:rsidR="0072097E" w:rsidRPr="002D22C8" w:rsidRDefault="00000000">
            <w:pPr>
              <w:widowControl w:val="0"/>
              <w:spacing w:line="360" w:lineRule="auto"/>
              <w:jc w:val="right"/>
              <w:rPr>
                <w:color w:val="000000"/>
              </w:rPr>
            </w:pPr>
            <w:r w:rsidRPr="002D22C8">
              <w:rPr>
                <w:color w:val="000000"/>
              </w:rPr>
              <w:t>1,417,346,747</w:t>
            </w:r>
          </w:p>
        </w:tc>
        <w:tc>
          <w:tcPr>
            <w:tcW w:w="1135" w:type="dxa"/>
            <w:shd w:val="clear" w:color="auto" w:fill="auto"/>
            <w:vAlign w:val="center"/>
          </w:tcPr>
          <w:p w14:paraId="2F92EB8B" w14:textId="77777777" w:rsidR="0072097E" w:rsidRPr="002D22C8" w:rsidRDefault="00000000">
            <w:pPr>
              <w:widowControl w:val="0"/>
              <w:spacing w:line="360" w:lineRule="auto"/>
              <w:jc w:val="right"/>
              <w:rPr>
                <w:color w:val="000000"/>
              </w:rPr>
            </w:pPr>
            <w:r w:rsidRPr="002D22C8">
              <w:rPr>
                <w:color w:val="000000"/>
              </w:rPr>
              <w:t>1,664,363,642</w:t>
            </w:r>
          </w:p>
        </w:tc>
        <w:tc>
          <w:tcPr>
            <w:tcW w:w="991" w:type="dxa"/>
            <w:shd w:val="clear" w:color="auto" w:fill="auto"/>
            <w:vAlign w:val="center"/>
          </w:tcPr>
          <w:p w14:paraId="3262FEF3" w14:textId="77777777" w:rsidR="0072097E" w:rsidRPr="002D22C8" w:rsidRDefault="00000000">
            <w:pPr>
              <w:widowControl w:val="0"/>
              <w:spacing w:line="360" w:lineRule="auto"/>
              <w:jc w:val="right"/>
              <w:rPr>
                <w:color w:val="000000"/>
              </w:rPr>
            </w:pPr>
            <w:r w:rsidRPr="002D22C8">
              <w:rPr>
                <w:color w:val="000000"/>
              </w:rPr>
              <w:t>961,270,810</w:t>
            </w:r>
          </w:p>
        </w:tc>
      </w:tr>
    </w:tbl>
    <w:p w14:paraId="72CD1863" w14:textId="4933999C" w:rsidR="0072097E" w:rsidRPr="002D22C8" w:rsidRDefault="00000000">
      <w:pPr>
        <w:spacing w:line="360" w:lineRule="auto"/>
        <w:jc w:val="center"/>
      </w:pPr>
      <w:r w:rsidRPr="002D22C8">
        <w:rPr>
          <w:lang w:val="es-ES"/>
        </w:rPr>
        <w:t>Fuente: Cálculos propios con base en las tablas 8 y 9</w:t>
      </w:r>
    </w:p>
    <w:p w14:paraId="412D8759" w14:textId="77777777" w:rsidR="0072097E" w:rsidRDefault="00000000">
      <w:pPr>
        <w:spacing w:line="360" w:lineRule="auto"/>
        <w:jc w:val="both"/>
        <w:rPr>
          <w:sz w:val="20"/>
          <w:szCs w:val="20"/>
        </w:rPr>
      </w:pPr>
      <w:r w:rsidRPr="002D22C8">
        <w:t xml:space="preserve">Nota: </w:t>
      </w:r>
      <w:r w:rsidRPr="002D22C8">
        <w:rPr>
          <w:color w:val="000000"/>
          <w:vertAlign w:val="superscript"/>
        </w:rPr>
        <w:t>1</w:t>
      </w:r>
      <w:r w:rsidRPr="002D22C8">
        <w:t xml:space="preserve">La diferencia entre el requerimiento de ingresos de la Tabla 9 ($5,301.4 </w:t>
      </w:r>
      <w:proofErr w:type="spellStart"/>
      <w:r w:rsidRPr="002D22C8">
        <w:t>mdp</w:t>
      </w:r>
      <w:proofErr w:type="spellEnd"/>
      <w:r w:rsidRPr="002D22C8">
        <w:t xml:space="preserve">) y el de la Tabla 10 ($6,285.9 </w:t>
      </w:r>
      <w:proofErr w:type="spellStart"/>
      <w:r w:rsidRPr="002D22C8">
        <w:t>mdp</w:t>
      </w:r>
      <w:proofErr w:type="spellEnd"/>
      <w:r w:rsidRPr="002D22C8">
        <w:t>) se debe a la actualización a pesos de 2015, empleando un factor de inflación implícito de 18.6%. Ello se hace así porque el cargo por servicio y el cargo de distribución con comercialización autorizados se derivaron del requerimiento de ingresos a pesos de 2015.</w:t>
      </w:r>
    </w:p>
    <w:p w14:paraId="5A9C4795" w14:textId="77777777" w:rsidR="0072097E" w:rsidRDefault="00000000">
      <w:pPr>
        <w:spacing w:line="360" w:lineRule="auto"/>
        <w:jc w:val="both"/>
        <w:rPr>
          <w:iCs/>
          <w:szCs w:val="20"/>
          <w:highlight w:val="yellow"/>
        </w:rPr>
      </w:pPr>
      <w:r>
        <w:tab/>
        <w:t>Esta tabla es la que concluye y ordena los hallazgos. Muestra el RI asociado a los dos cargos, descompuesto por grupo tarifario y los 4 componentes (costos directos e indirectos). Los cargos son por servicio (fijos) y por distribución (variables) y se observa su composición por cada uno de los cinco grupos de la tarifa. Cada grupo de la tarifa, a su vez, es descompuesto por los 4 factores de costos directos e indirectos. Esta es la asignación que realizó el órgano regulador y con el método empleado se llegó a los datos que se ocultaban por ausencia de transparencia.</w:t>
      </w:r>
    </w:p>
    <w:p w14:paraId="387317FD" w14:textId="77777777" w:rsidR="0072097E" w:rsidRDefault="0072097E">
      <w:pPr>
        <w:spacing w:line="360" w:lineRule="auto"/>
        <w:jc w:val="both"/>
        <w:rPr>
          <w:iCs/>
          <w:szCs w:val="20"/>
          <w:highlight w:val="yellow"/>
        </w:rPr>
      </w:pPr>
    </w:p>
    <w:p w14:paraId="326C1E3A" w14:textId="77777777" w:rsidR="0072097E" w:rsidRPr="002D22C8" w:rsidRDefault="00000000" w:rsidP="002D22C8">
      <w:pPr>
        <w:spacing w:line="360" w:lineRule="auto"/>
        <w:jc w:val="center"/>
        <w:rPr>
          <w:b/>
          <w:bCs/>
          <w:sz w:val="32"/>
          <w:szCs w:val="32"/>
        </w:rPr>
      </w:pPr>
      <w:r w:rsidRPr="002D22C8">
        <w:rPr>
          <w:b/>
          <w:bCs/>
          <w:sz w:val="32"/>
          <w:szCs w:val="32"/>
        </w:rPr>
        <w:t>Discusión</w:t>
      </w:r>
    </w:p>
    <w:p w14:paraId="78D05E53" w14:textId="77777777" w:rsidR="0072097E" w:rsidRDefault="00000000">
      <w:pPr>
        <w:spacing w:line="360" w:lineRule="auto"/>
        <w:jc w:val="both"/>
        <w:rPr>
          <w:iCs/>
          <w:szCs w:val="20"/>
          <w:highlight w:val="yellow"/>
        </w:rPr>
      </w:pPr>
      <w:r>
        <w:t>La fijación de tarifas bajo un régimen regulatorio supone la existencia de una práctica de transparencia de los cálculos realizados por la autoridad, bajo las normas metodológicas que son conocidas en las Directivas. Este principio es el que garantiza los derechos de los consumidores finales tratándose de servicios de índole social, como es la dotación de gas natural. Este artículo muestra el incumplimiento de la transparencia y mediante un ejercicio contable que los autores denominan reconstructivo, también se muestra la existencia de subsidios cruzados, lo cual es una importante probabilidad de causalidad para ocultar el proceso de cálculo integral empleado por el regulador.</w:t>
      </w:r>
    </w:p>
    <w:p w14:paraId="6CBF8C63" w14:textId="77777777" w:rsidR="0072097E" w:rsidRDefault="00000000">
      <w:pPr>
        <w:spacing w:line="360" w:lineRule="auto"/>
        <w:jc w:val="both"/>
        <w:rPr>
          <w:iCs/>
          <w:szCs w:val="20"/>
          <w:highlight w:val="yellow"/>
        </w:rPr>
      </w:pPr>
      <w:r>
        <w:tab/>
        <w:t xml:space="preserve">La academia no ha explorado significativamente la contabilidad de costos en materia regulatoria, en el sector del gas natural, en México. Los autores consideran que se está ante la posibilidad de establecer una línea pionera ya que lo que ha privado es la elaboración de análisis de optimalidad de tarifas bajo supuestos de la economía ortodoxa, en los autores citados, pero a la fecha no ha habido el interés en analizar la naturaleza contable de las tarifas y su proceso de determinación mediante costos y los principios de </w:t>
      </w:r>
      <w:proofErr w:type="gramStart"/>
      <w:r>
        <w:t>los mismos</w:t>
      </w:r>
      <w:proofErr w:type="gramEnd"/>
      <w:r>
        <w:t>. Sin ello, no es posible reconocer la existencia o no de subsidios cruzados y de captura del regulador, que son temas centrales de la teoría económica de la regulación.</w:t>
      </w:r>
    </w:p>
    <w:p w14:paraId="0B79A416" w14:textId="25921210" w:rsidR="0072097E" w:rsidRDefault="00000000">
      <w:pPr>
        <w:spacing w:line="360" w:lineRule="auto"/>
        <w:jc w:val="both"/>
        <w:rPr>
          <w:iCs/>
          <w:szCs w:val="20"/>
          <w:highlight w:val="yellow"/>
        </w:rPr>
      </w:pPr>
      <w:r>
        <w:lastRenderedPageBreak/>
        <w:tab/>
        <w:t xml:space="preserve">Como se ha mencionado en el texto, las tarifas vigentes del permiso analizado tenían fecha de vencimiento en el año de 2020, y desde entonces se ha interrumpido el proceso normal de revisión quinquenal de tarifas. Se debe agregar que esta interrupción se debe a una decisión del órgano regulador en un acto que, a juicio de los autores, es un reconocimiento implícito de las fallas regulatorias previas en el mercado de la distribución por ducto de gas natural, como muestra el caso analizado. </w:t>
      </w:r>
      <w:r>
        <w:rPr>
          <w:rFonts w:eastAsiaTheme="minorEastAsia"/>
          <w:iCs/>
          <w:szCs w:val="20"/>
        </w:rPr>
        <w:t xml:space="preserve">El contexto durante estos años de una nueva política energética ha sido de tensión entre empresas del ramo y la autoridad regulatoria, y ello no hace sino confirmar la naturaleza política y social de la regulación y, por ende, su carácter cambiante. Señalan Phillips </w:t>
      </w:r>
      <w:r w:rsidR="00DB60C1">
        <w:rPr>
          <w:rFonts w:eastAsiaTheme="minorEastAsia"/>
          <w:iCs/>
          <w:szCs w:val="20"/>
        </w:rPr>
        <w:t xml:space="preserve">y </w:t>
      </w:r>
      <w:r>
        <w:rPr>
          <w:rFonts w:eastAsiaTheme="minorEastAsia"/>
          <w:iCs/>
          <w:szCs w:val="20"/>
        </w:rPr>
        <w:t xml:space="preserve">Brown (1993) que "la regulación es un concepto económico, legislativo y legal" (p. 49) y abundan: "la regulación se puede expandir sobre los mismos principios que le dieron lugar, pero también por razones poco relacionadas con las iniciales. Las nuevas razones pueden ser suficientes para justificar la extensión de la regulación, pero una </w:t>
      </w:r>
      <w:proofErr w:type="spellStart"/>
      <w:r w:rsidRPr="00DB60C1">
        <w:rPr>
          <w:rFonts w:eastAsiaTheme="minorEastAsia"/>
          <w:i/>
          <w:szCs w:val="20"/>
        </w:rPr>
        <w:t>policy</w:t>
      </w:r>
      <w:proofErr w:type="spellEnd"/>
      <w:r w:rsidRPr="00DB60C1">
        <w:rPr>
          <w:rFonts w:eastAsiaTheme="minorEastAsia"/>
          <w:i/>
          <w:szCs w:val="20"/>
        </w:rPr>
        <w:t xml:space="preserve"> </w:t>
      </w:r>
      <w:proofErr w:type="spellStart"/>
      <w:r w:rsidRPr="00DB60C1">
        <w:rPr>
          <w:rFonts w:eastAsiaTheme="minorEastAsia"/>
          <w:i/>
          <w:szCs w:val="20"/>
        </w:rPr>
        <w:t>making</w:t>
      </w:r>
      <w:proofErr w:type="spellEnd"/>
      <w:r>
        <w:rPr>
          <w:rFonts w:eastAsiaTheme="minorEastAsia"/>
          <w:iCs/>
          <w:szCs w:val="20"/>
        </w:rPr>
        <w:t xml:space="preserve"> inteligente debería ser juzgada por sus propios méritos. Las extensiones 'lógicas' de la regulación no son siempre lógicas: De modo similar, las condiciones que produjeron en un principio la regulación pueden haber cambiado al punto de que la regulación sea reducida o bien drásticamente modificada" (Ibid. p. 51</w:t>
      </w:r>
      <w:proofErr w:type="gramStart"/>
      <w:r>
        <w:rPr>
          <w:rFonts w:eastAsiaTheme="minorEastAsia"/>
          <w:iCs/>
          <w:szCs w:val="20"/>
        </w:rPr>
        <w:t>) .</w:t>
      </w:r>
      <w:proofErr w:type="gramEnd"/>
    </w:p>
    <w:p w14:paraId="549885AE" w14:textId="77777777" w:rsidR="0072097E" w:rsidRDefault="00000000">
      <w:pPr>
        <w:spacing w:line="360" w:lineRule="auto"/>
        <w:jc w:val="both"/>
        <w:rPr>
          <w:iCs/>
          <w:szCs w:val="20"/>
          <w:highlight w:val="yellow"/>
        </w:rPr>
      </w:pPr>
      <w:r>
        <w:rPr>
          <w:rFonts w:eastAsiaTheme="minorEastAsia"/>
          <w:iCs/>
          <w:szCs w:val="20"/>
        </w:rPr>
        <w:tab/>
        <w:t>Esta realidad conduce al punto central de la discusión aquí propuesta: es necesaria una revaloración académica de la práctica de la regulación económica en materia energética que brinde metodologías e investigación desde la óptica de la contabilidad regulatoria, la cual es el centro de interpretaciones y aplicación de las políticas en materia de energía. Ejercicios de emulación o reconstrucción contable regulatoria deben ser una práctica más frecuente en la academia y organismos de la sociedad, para combatir las malas aplicaciones de los principios de la regulación. Ello conduce a pensar que es necesario que, a pesar de su autonomía, la CRE pueda ser auditada por entidades especializadas para ayudar en el mismo sentido de mejorar la práctica regulatoria en beneficio de los consumidores.</w:t>
      </w:r>
    </w:p>
    <w:p w14:paraId="7A4D4C0F" w14:textId="77777777" w:rsidR="0072097E" w:rsidRDefault="00000000">
      <w:pPr>
        <w:spacing w:line="360" w:lineRule="auto"/>
        <w:jc w:val="both"/>
        <w:rPr>
          <w:iCs/>
          <w:szCs w:val="20"/>
          <w:highlight w:val="yellow"/>
        </w:rPr>
      </w:pPr>
      <w:r>
        <w:rPr>
          <w:rFonts w:eastAsiaTheme="minorEastAsia"/>
          <w:iCs/>
          <w:szCs w:val="20"/>
        </w:rPr>
        <w:tab/>
        <w:t>Finalmente, acerca de los supuestos y alcances de la metodología, cabe decir que la contabilidad inversa de los costos contiene un par de supuestos que vale la pena recuperar: uno es el del periodo de vida útil promedio para todos los activos, que se asume de 17 años debido a que el sistema de distribución ha estado en expansión continua y dado que la vida útil de los ductos en promedio es de 30 años. El otro supuesto es el del porcentaje autorizado por el regulador a la empresa del monto de inversión propuesto, asumido en 100%, lo cual es razonable porque la CRE incrementó las propuestas de número de usuarios y energía de la empresa, en 7.6% y 37.7% respectivamente.</w:t>
      </w:r>
    </w:p>
    <w:p w14:paraId="026BD237" w14:textId="77777777" w:rsidR="0072097E" w:rsidRDefault="00000000">
      <w:pPr>
        <w:spacing w:line="360" w:lineRule="auto"/>
        <w:jc w:val="both"/>
        <w:rPr>
          <w:iCs/>
          <w:szCs w:val="20"/>
          <w:highlight w:val="yellow"/>
        </w:rPr>
      </w:pPr>
      <w:r>
        <w:rPr>
          <w:rFonts w:eastAsiaTheme="minorEastAsia"/>
          <w:iCs/>
          <w:szCs w:val="20"/>
        </w:rPr>
        <w:lastRenderedPageBreak/>
        <w:tab/>
        <w:t>Ambos supuestos están fundados en consideraciones técnicas de la operación de este tipo de infraestructuras y, a juicio de los autores, son verosímiles.</w:t>
      </w:r>
    </w:p>
    <w:p w14:paraId="41E3B2A0" w14:textId="77777777" w:rsidR="0039141E" w:rsidRDefault="0039141E">
      <w:pPr>
        <w:spacing w:line="360" w:lineRule="auto"/>
        <w:jc w:val="both"/>
        <w:rPr>
          <w:iCs/>
          <w:szCs w:val="20"/>
          <w:highlight w:val="yellow"/>
        </w:rPr>
      </w:pPr>
    </w:p>
    <w:p w14:paraId="140A4218" w14:textId="77777777" w:rsidR="0072097E" w:rsidRPr="002D22C8" w:rsidRDefault="00000000" w:rsidP="002D22C8">
      <w:pPr>
        <w:spacing w:line="360" w:lineRule="auto"/>
        <w:jc w:val="center"/>
        <w:rPr>
          <w:b/>
          <w:bCs/>
          <w:sz w:val="32"/>
          <w:szCs w:val="32"/>
        </w:rPr>
      </w:pPr>
      <w:r w:rsidRPr="002D22C8">
        <w:rPr>
          <w:b/>
          <w:bCs/>
          <w:sz w:val="32"/>
          <w:szCs w:val="32"/>
        </w:rPr>
        <w:t>Conclusiones</w:t>
      </w:r>
    </w:p>
    <w:p w14:paraId="68965973" w14:textId="77777777" w:rsidR="0072097E" w:rsidRDefault="00000000">
      <w:pPr>
        <w:spacing w:line="360" w:lineRule="auto"/>
        <w:jc w:val="both"/>
      </w:pPr>
      <w:r>
        <w:t>En el caso de estudio abordado, como se ha mencionado, la autoridad regulatoria incumple con la transparencia informativa para conocer el ejercicio contable y la asignación de costos que lleva a la fijación de las 5 tarifas por tipo de usuario en el permiso otorgado a la empresa que distribuye el gas natural a la Ciudad de México. Este es un caso que además presenta la peculiaridad de que se trata de un sistema de distribución que combina diversos tipos de usuarios finales, desde los residenciales pasando por comerciales e industriales, hasta una empresa de generación de electricidad, la cual fue añadida recientemente al sistema mediante una importante inversión de capital. Por tanto, es un caso que se puede considerar paradigmático para comprobar en la práctica la aplicación del principio de no incurrir en subsidios cruzados, situación que denotaría captura del regulador.</w:t>
      </w:r>
    </w:p>
    <w:p w14:paraId="6AF27C99" w14:textId="77777777" w:rsidR="0072097E" w:rsidRDefault="00000000">
      <w:pPr>
        <w:spacing w:line="360" w:lineRule="auto"/>
        <w:jc w:val="both"/>
      </w:pPr>
      <w:r>
        <w:tab/>
        <w:t>La hipótesis planteada fue que, con los datos finales públicos, era posible hacer un cálculo con base en contabilidad regulatoria, de tipo inverso o reconstructivo, que permitiese mostrar los cálculos y asignación de costos que llevó a cabo el regulador para dar origen a las tarifas aprobadas. La hipótesis quedó comprobada y la metodología es replicable porque sigue los principios de la contabilidad regulatoria y puede ser empleada en situaciones análogas al caso analizado.</w:t>
      </w:r>
    </w:p>
    <w:p w14:paraId="73A2E207" w14:textId="77777777" w:rsidR="0072097E" w:rsidRDefault="00000000">
      <w:pPr>
        <w:spacing w:line="360" w:lineRule="auto"/>
        <w:jc w:val="both"/>
      </w:pPr>
      <w:r>
        <w:tab/>
        <w:t>El resultado final buscado era conocer las estructuras de costos asociadas a cada una de las tarifas que aprobó el organismo regulador y compararlas, ya que de esta contrastación es posible reconocer si se cumple el principio de asignación eficiente de los diferentes costos entre los diferentes tipos de usuario. Sin embargo, el resultado apunta a la existencia de subsidios cruzados, ya que los datos mostrados en las tablas 8, 9 y 10 indican que existe una falta de proporcionalidad manifiesta en la asignación de costos al comparar al grupo tarifario de los consumidores domésticos con la tarifa de un único consumidor que es la empresa de generación eléctrica. Como muestran los números obtenidos por este método, mediante las tarifas que le fueron aprobadas, la empresa recupera los costos de su sistema de distribución básicamente de los consumidores residenciales y ello le permite no cargar en la tarifa que le aplica a la generadora eléctrica la inversión que tuvo que realizar para incorporarla al sistema. Se trata de un caso de subsidios cruzados en perjuicio de los consumidores residenciales y en beneficio de la empresa eléctrica.</w:t>
      </w:r>
    </w:p>
    <w:p w14:paraId="4AC62ED6" w14:textId="77777777" w:rsidR="0072097E" w:rsidRDefault="00000000">
      <w:pPr>
        <w:spacing w:line="360" w:lineRule="auto"/>
        <w:jc w:val="both"/>
      </w:pPr>
      <w:r>
        <w:lastRenderedPageBreak/>
        <w:tab/>
        <w:t>La evaluación cuantitativa de los resultados señala que el requerimiento de ingresos que se cobra mediante el cargo de distribución con comercialización representa el 74% del requerimiento de ingresos quinquenal aprobado por la CRE. De este, el 60.8% se recupera a través de los usuarios residenciales, quienes solo tienen asignado el 14.6% de la energía. Por su parte, el usuario GU1 solo tiene asignado el 0.8% de la recuperación del requerimiento de ingresos asociado al cargo por distribución con comercialización, pero consume el 27.3%. Por su parte, del grupo tarifario gran industrial se recupera el 22.8% del RI por distribución y consume el 37.6% del gas natural del sistema de distribución. No es eficiente que dos grupos tarifarios consuman el 65% de la energía y paguen solo el 24%, y se muestra que la asignación de costos implícita autorizada por la CRE responde a una estrategia de la empresa por recuperar el requerimiento de ingresos a través del grupo de usuarios cautivos y de mayor número que son los usuarios residenciales.</w:t>
      </w:r>
    </w:p>
    <w:p w14:paraId="2FFFB12B" w14:textId="77777777" w:rsidR="0072097E" w:rsidRDefault="00000000">
      <w:pPr>
        <w:spacing w:line="360" w:lineRule="auto"/>
        <w:jc w:val="both"/>
      </w:pPr>
      <w:r>
        <w:tab/>
        <w:t>La falta de transparencia y la existencia de subsidios cruzados que se han demostrado conducen a concluir que el estudio de caso es el de una situación de captura del regulador motivada por la propia práctica del órgano regulador de incumplir con principios de transparencia de cálculos tarifarios.</w:t>
      </w:r>
    </w:p>
    <w:p w14:paraId="7F3C87E6" w14:textId="77777777" w:rsidR="0072097E" w:rsidRDefault="00000000">
      <w:pPr>
        <w:spacing w:line="360" w:lineRule="auto"/>
        <w:jc w:val="both"/>
      </w:pPr>
      <w:r>
        <w:tab/>
        <w:t xml:space="preserve">El artículo muestra que la regulación asimétrica que beneficia a empresas privadas, como es el caso mostrado, puede ser transparentada y </w:t>
      </w:r>
      <w:proofErr w:type="gramStart"/>
      <w:r>
        <w:t>cuantificada</w:t>
      </w:r>
      <w:proofErr w:type="gramEnd"/>
      <w:r>
        <w:t xml:space="preserve"> aunque no exista información pública sobre el proceso tarifario, con lo cual se establecen las bases para una mejora de la actividad reguladora, una función clave de la regulación económica en el sector del gas natural.</w:t>
      </w:r>
    </w:p>
    <w:p w14:paraId="4C367721" w14:textId="77777777" w:rsidR="0039141E" w:rsidRDefault="0039141E">
      <w:pPr>
        <w:spacing w:line="360" w:lineRule="auto"/>
        <w:jc w:val="both"/>
      </w:pPr>
    </w:p>
    <w:p w14:paraId="398628A2" w14:textId="77777777" w:rsidR="0039141E" w:rsidRDefault="0039141E" w:rsidP="0039141E">
      <w:pPr>
        <w:spacing w:line="360" w:lineRule="auto"/>
        <w:jc w:val="center"/>
        <w:rPr>
          <w:b/>
          <w:bCs/>
          <w:sz w:val="28"/>
          <w:szCs w:val="28"/>
        </w:rPr>
      </w:pPr>
      <w:r>
        <w:rPr>
          <w:b/>
          <w:bCs/>
          <w:sz w:val="28"/>
          <w:szCs w:val="28"/>
        </w:rPr>
        <w:t>Futuras líneas de investigación</w:t>
      </w:r>
    </w:p>
    <w:p w14:paraId="6C4F4E92" w14:textId="6AD19069" w:rsidR="0039141E" w:rsidRDefault="0039141E" w:rsidP="0039141E">
      <w:pPr>
        <w:spacing w:line="360" w:lineRule="auto"/>
        <w:jc w:val="both"/>
      </w:pPr>
      <w:r>
        <w:t>El resultado al que se llega permite un siguiente paso que es el de aplicar el método seguido en este caso para calcular los costos reales en el conjunto de tarifas con la misma opacidad de distintos servicios de distribución de gas natural en grandes ciudades de México, aportando así desde la academia herramientas conceptuales y metodológicas para una mejora de la práctica regulatoria, con beneficios sociales, en el contexto de un cambio de paradigma de política energética por parte del Estado mexicano, situación en la cual una gestión regulatoria con mejores instrumentos analíticos es fundamental.</w:t>
      </w:r>
    </w:p>
    <w:p w14:paraId="5036751F" w14:textId="77777777" w:rsidR="0072097E" w:rsidRDefault="0072097E">
      <w:pPr>
        <w:spacing w:line="360" w:lineRule="auto"/>
        <w:jc w:val="both"/>
        <w:rPr>
          <w:b/>
          <w:bCs/>
          <w:sz w:val="28"/>
          <w:szCs w:val="28"/>
        </w:rPr>
      </w:pPr>
    </w:p>
    <w:p w14:paraId="2BCF6E32" w14:textId="77777777" w:rsidR="00B71F87" w:rsidRDefault="00B71F87">
      <w:pPr>
        <w:spacing w:line="360" w:lineRule="auto"/>
        <w:jc w:val="both"/>
        <w:rPr>
          <w:b/>
          <w:bCs/>
          <w:sz w:val="28"/>
          <w:szCs w:val="28"/>
        </w:rPr>
      </w:pPr>
    </w:p>
    <w:p w14:paraId="121B9378" w14:textId="77777777" w:rsidR="00B71F87" w:rsidRDefault="00B71F87">
      <w:pPr>
        <w:spacing w:line="360" w:lineRule="auto"/>
        <w:jc w:val="both"/>
        <w:rPr>
          <w:b/>
          <w:bCs/>
          <w:sz w:val="28"/>
          <w:szCs w:val="28"/>
        </w:rPr>
      </w:pPr>
    </w:p>
    <w:p w14:paraId="5437F5C2" w14:textId="77777777" w:rsidR="0072097E" w:rsidRPr="002D22C8" w:rsidRDefault="00000000">
      <w:pPr>
        <w:spacing w:line="360" w:lineRule="auto"/>
        <w:jc w:val="both"/>
        <w:rPr>
          <w:rFonts w:asciiTheme="minorHAnsi" w:hAnsiTheme="minorHAnsi" w:cstheme="minorHAnsi"/>
          <w:b/>
          <w:bCs/>
          <w:sz w:val="28"/>
          <w:szCs w:val="28"/>
        </w:rPr>
      </w:pPr>
      <w:r w:rsidRPr="002D22C8">
        <w:rPr>
          <w:rFonts w:asciiTheme="minorHAnsi" w:hAnsiTheme="minorHAnsi" w:cstheme="minorHAnsi"/>
          <w:b/>
          <w:bCs/>
          <w:sz w:val="28"/>
          <w:szCs w:val="28"/>
        </w:rPr>
        <w:lastRenderedPageBreak/>
        <w:t>Referencias</w:t>
      </w:r>
    </w:p>
    <w:p w14:paraId="01DC08F8" w14:textId="06CA3B2C" w:rsidR="0072097E" w:rsidRDefault="00000000">
      <w:pPr>
        <w:spacing w:line="360" w:lineRule="auto"/>
        <w:ind w:left="709" w:hanging="709"/>
        <w:jc w:val="both"/>
        <w:rPr>
          <w:color w:val="000000"/>
          <w:highlight w:val="yellow"/>
        </w:rPr>
      </w:pPr>
      <w:r>
        <w:rPr>
          <w:color w:val="000000" w:themeColor="text1"/>
        </w:rPr>
        <w:t>Boehm, F. (20</w:t>
      </w:r>
      <w:r w:rsidR="008B4AAC">
        <w:rPr>
          <w:color w:val="000000" w:themeColor="text1"/>
        </w:rPr>
        <w:t>1</w:t>
      </w:r>
      <w:r>
        <w:rPr>
          <w:color w:val="000000" w:themeColor="text1"/>
        </w:rPr>
        <w:t xml:space="preserve">5). Corrupción y captura en la regulación de los servicios públicos. </w:t>
      </w:r>
      <w:r>
        <w:rPr>
          <w:i/>
          <w:iCs/>
          <w:color w:val="000000" w:themeColor="text1"/>
        </w:rPr>
        <w:t>Revista de Economía Institucional</w:t>
      </w:r>
      <w:r>
        <w:rPr>
          <w:color w:val="000000" w:themeColor="text1"/>
        </w:rPr>
        <w:t xml:space="preserve">, </w:t>
      </w:r>
      <w:r>
        <w:rPr>
          <w:i/>
          <w:color w:val="000000" w:themeColor="text1"/>
        </w:rPr>
        <w:t>7</w:t>
      </w:r>
      <w:r>
        <w:rPr>
          <w:color w:val="000000" w:themeColor="text1"/>
        </w:rPr>
        <w:t xml:space="preserve">(13), 245-263. </w:t>
      </w:r>
    </w:p>
    <w:p w14:paraId="41A45021" w14:textId="77777777" w:rsidR="0072097E" w:rsidRDefault="00000000">
      <w:pPr>
        <w:spacing w:line="360" w:lineRule="auto"/>
        <w:ind w:left="709" w:hanging="709"/>
        <w:jc w:val="both"/>
      </w:pPr>
      <w:proofErr w:type="spellStart"/>
      <w:r>
        <w:t>Chevalier</w:t>
      </w:r>
      <w:proofErr w:type="spellEnd"/>
      <w:r>
        <w:t xml:space="preserve">, J.-M., </w:t>
      </w:r>
      <w:proofErr w:type="spellStart"/>
      <w:r>
        <w:t>Derdevet</w:t>
      </w:r>
      <w:proofErr w:type="spellEnd"/>
      <w:r>
        <w:t xml:space="preserve">, M., </w:t>
      </w:r>
      <w:proofErr w:type="spellStart"/>
      <w:r>
        <w:t>Geoffron</w:t>
      </w:r>
      <w:proofErr w:type="spellEnd"/>
      <w:r>
        <w:t xml:space="preserve">, P. (2012). </w:t>
      </w:r>
      <w:proofErr w:type="spellStart"/>
      <w:r>
        <w:rPr>
          <w:i/>
          <w:iCs/>
        </w:rPr>
        <w:t>L’avenir</w:t>
      </w:r>
      <w:proofErr w:type="spellEnd"/>
      <w:r>
        <w:rPr>
          <w:i/>
          <w:iCs/>
        </w:rPr>
        <w:t xml:space="preserve"> </w:t>
      </w:r>
      <w:proofErr w:type="spellStart"/>
      <w:r>
        <w:rPr>
          <w:i/>
          <w:iCs/>
        </w:rPr>
        <w:t>énergétique</w:t>
      </w:r>
      <w:proofErr w:type="spellEnd"/>
      <w:r>
        <w:rPr>
          <w:i/>
          <w:iCs/>
        </w:rPr>
        <w:t xml:space="preserve">: </w:t>
      </w:r>
      <w:proofErr w:type="spellStart"/>
      <w:r>
        <w:rPr>
          <w:i/>
          <w:iCs/>
        </w:rPr>
        <w:t>cartes</w:t>
      </w:r>
      <w:proofErr w:type="spellEnd"/>
      <w:r>
        <w:rPr>
          <w:i/>
          <w:iCs/>
        </w:rPr>
        <w:t xml:space="preserve"> sur table</w:t>
      </w:r>
      <w:r>
        <w:t xml:space="preserve">. </w:t>
      </w:r>
      <w:proofErr w:type="spellStart"/>
      <w:r>
        <w:t>Gallimard</w:t>
      </w:r>
      <w:proofErr w:type="spellEnd"/>
      <w:r>
        <w:t>.</w:t>
      </w:r>
    </w:p>
    <w:p w14:paraId="57A2D814" w14:textId="3DEDA86C" w:rsidR="0072097E" w:rsidRDefault="00000000">
      <w:pPr>
        <w:spacing w:line="360" w:lineRule="auto"/>
        <w:ind w:left="709" w:hanging="709"/>
        <w:jc w:val="both"/>
        <w:rPr>
          <w:rStyle w:val="Hipervnculo"/>
        </w:rPr>
      </w:pPr>
      <w:bookmarkStart w:id="3" w:name="_Hlk140518552"/>
      <w:r>
        <w:t xml:space="preserve">Comisión Reguladora de Energía [CRE]. </w:t>
      </w:r>
      <w:bookmarkEnd w:id="3"/>
      <w:r>
        <w:t>(2022). Permisos otorgados por la Comisión.</w:t>
      </w:r>
      <w:r>
        <w:rPr>
          <w:i/>
          <w:iCs/>
        </w:rPr>
        <w:t xml:space="preserve"> </w:t>
      </w:r>
      <w:r w:rsidRPr="0039141E">
        <w:t>https://datos.gob.mx/busca/organization/cre</w:t>
      </w:r>
    </w:p>
    <w:p w14:paraId="0E411AEB" w14:textId="0C8A1C11" w:rsidR="000F30B6" w:rsidRDefault="000F30B6">
      <w:pPr>
        <w:spacing w:line="360" w:lineRule="auto"/>
        <w:ind w:left="709" w:hanging="709"/>
        <w:jc w:val="both"/>
        <w:rPr>
          <w:rStyle w:val="Hipervnculo"/>
        </w:rPr>
      </w:pPr>
      <w:r>
        <w:t>Comisión Reguladora de Energía [CRE]. (2016).</w:t>
      </w:r>
      <w:r w:rsidRPr="000F30B6">
        <w:rPr>
          <w:color w:val="000000" w:themeColor="text1"/>
        </w:rPr>
        <w:t xml:space="preserve"> </w:t>
      </w:r>
      <w:r>
        <w:rPr>
          <w:color w:val="000000" w:themeColor="text1"/>
        </w:rPr>
        <w:t>Resolución No. RES/055/2016. Resolución por la que la Comisión Reguladora de Energía determina la lista de tarifas máximas para el cuarto periodo de cinco años del permiso de distribución G/041/DIS/98, otorgado a Comercializadora Metrogas, S.A. de C.V., en la zona geográfica del Distrito Federal. 28 de enero de 2016. México. https://www.cre.gob.mx/Resoluciones/index</w:t>
      </w:r>
    </w:p>
    <w:p w14:paraId="206053C3" w14:textId="77777777" w:rsidR="000F30B6" w:rsidRDefault="0029582F" w:rsidP="000F30B6">
      <w:pPr>
        <w:spacing w:line="360" w:lineRule="auto"/>
        <w:ind w:left="709" w:hanging="709"/>
        <w:jc w:val="both"/>
        <w:rPr>
          <w:color w:val="000000"/>
        </w:rPr>
      </w:pPr>
      <w:r>
        <w:t xml:space="preserve">Comisión Reguladora de Energía [CRE]. (2015). </w:t>
      </w:r>
      <w:r w:rsidR="000F30B6">
        <w:rPr>
          <w:color w:val="000000" w:themeColor="text1"/>
        </w:rPr>
        <w:t>Resolución No. RES/730/2015. Resolución por la que la Comisión Reguladora de Energía autoriza el Ingreso Requerido para el cuarto periodo de cinco años a Comercializadora Metrogas, S.A. de C.V. titular del permiso de distribución de gas natural G/041/DIS/98 en la zona geográfica del Distrito Federal. 05 de noviembre de 2015. México. https://www.cre.gob.mx/Resoluciones/index.</w:t>
      </w:r>
    </w:p>
    <w:p w14:paraId="336EC433" w14:textId="20901830" w:rsidR="0029582F" w:rsidRDefault="0029582F">
      <w:pPr>
        <w:spacing w:line="360" w:lineRule="auto"/>
        <w:ind w:left="709" w:hanging="709"/>
        <w:jc w:val="both"/>
        <w:rPr>
          <w:rStyle w:val="Hipervnculo"/>
        </w:rPr>
      </w:pPr>
      <w:r>
        <w:t xml:space="preserve">Comisión Reguladora de Energía [CRE]. (2013). </w:t>
      </w:r>
      <w:r>
        <w:rPr>
          <w:color w:val="000000" w:themeColor="text1"/>
        </w:rPr>
        <w:t xml:space="preserve">Resolución No. RES/233/2013. Resolución por la que la Comisión Reguladora de Energía expide los criterios de aplicación de la Directiva sobre la determinación de las tarifas y el traslado de precios para las actividades reguladas en materia de gas natural DIR-GAS-001-2007 </w:t>
      </w:r>
      <w:proofErr w:type="gramStart"/>
      <w:r>
        <w:rPr>
          <w:color w:val="000000" w:themeColor="text1"/>
        </w:rPr>
        <w:t>en relación al</w:t>
      </w:r>
      <w:proofErr w:type="gramEnd"/>
      <w:r>
        <w:rPr>
          <w:color w:val="000000" w:themeColor="text1"/>
        </w:rPr>
        <w:t xml:space="preserve"> costo de capital para el transporte de gas natural por ducto. 20 de junio de 2013. México. https://www.cre.gob.mx/Resoluciones/index.</w:t>
      </w:r>
    </w:p>
    <w:p w14:paraId="44530579" w14:textId="5F43B813" w:rsidR="0029582F" w:rsidRDefault="0029582F">
      <w:pPr>
        <w:spacing w:line="360" w:lineRule="auto"/>
        <w:ind w:left="709" w:hanging="709"/>
        <w:jc w:val="both"/>
        <w:rPr>
          <w:rStyle w:val="Hipervnculo"/>
        </w:rPr>
      </w:pPr>
      <w:r>
        <w:t xml:space="preserve">Comisión Reguladora de Energía [CRE]. (2009). </w:t>
      </w:r>
      <w:r>
        <w:rPr>
          <w:color w:val="000000" w:themeColor="text1"/>
        </w:rPr>
        <w:t>Resolución No. RES/099/2009. Resolución por la que la Comisión Reguladora de Energía autoriza el ingreso requerido para la determinación de la propuesta de lista de tarifas máximas para el tercer periodo de cinco años del permiso número G/033/DIS/1998 otorgado a Gas Natural México, S. A. de C. V., para la distribución de gas natural en la zona geográfica de Monterrey. 28 de mayo de 2009. México. https://www.cre.gob.mx/Resoluciones/index.</w:t>
      </w:r>
    </w:p>
    <w:p w14:paraId="2A956601" w14:textId="463C611A" w:rsidR="0029582F" w:rsidRDefault="0029582F" w:rsidP="000F30B6">
      <w:pPr>
        <w:spacing w:line="360" w:lineRule="auto"/>
        <w:ind w:left="709" w:hanging="709"/>
        <w:rPr>
          <w:rStyle w:val="Hipervnculo"/>
        </w:rPr>
      </w:pPr>
      <w:bookmarkStart w:id="4" w:name="_Hlk140518726"/>
      <w:r>
        <w:t>Comisión Reguladora de Energía [CRE]. (2007</w:t>
      </w:r>
      <w:proofErr w:type="gramStart"/>
      <w:r>
        <w:t xml:space="preserve">) </w:t>
      </w:r>
      <w:bookmarkEnd w:id="4"/>
      <w:r>
        <w:t>.</w:t>
      </w:r>
      <w:proofErr w:type="gramEnd"/>
      <w:r w:rsidRPr="0029582F">
        <w:t xml:space="preserve"> </w:t>
      </w:r>
      <w:r>
        <w:t xml:space="preserve">Directiva No. DIR-GAS-001-2007. Directiva sobre la Determinación de Precios y Tarifas para las Actividades </w:t>
      </w:r>
      <w:r>
        <w:lastRenderedPageBreak/>
        <w:t xml:space="preserve">Reguladas en materia de Gas Natural. 28 de diciembre de 2007. México. </w:t>
      </w:r>
      <w:r w:rsidRPr="00B71F87">
        <w:t>https://dof.gob.mx/nota_detalle.php?codigo=5011883&amp;fecha=28/12/2007#gsc.tab=0</w:t>
      </w:r>
    </w:p>
    <w:p w14:paraId="3E2A2FC4" w14:textId="2FFA7E6E" w:rsidR="0029582F" w:rsidRDefault="0029582F" w:rsidP="000F30B6">
      <w:pPr>
        <w:spacing w:line="360" w:lineRule="auto"/>
        <w:ind w:left="709" w:hanging="709"/>
        <w:rPr>
          <w:rStyle w:val="Hipervnculo"/>
        </w:rPr>
      </w:pPr>
      <w:bookmarkStart w:id="5" w:name="_Hlk140518619"/>
      <w:r>
        <w:t xml:space="preserve">Comisión Reguladora de Energía [CRE]. </w:t>
      </w:r>
      <w:bookmarkEnd w:id="5"/>
      <w:r>
        <w:t xml:space="preserve">(1996). Directiva No. DIR-GAS-002-1996. Directiva de contabilidad para las actividades reguladas en materia de gas natural. 03 de junio de 1996. México. </w:t>
      </w:r>
      <w:r w:rsidRPr="0039141E">
        <w:t>https://dof.gob.mx/nota_detalle.php?codigo=4887123&amp;fecha=03/06/1996#gsc.tab=0</w:t>
      </w:r>
    </w:p>
    <w:p w14:paraId="1D486C28" w14:textId="77777777" w:rsidR="0072097E" w:rsidRDefault="00000000">
      <w:pPr>
        <w:spacing w:line="360" w:lineRule="auto"/>
        <w:ind w:left="709" w:hanging="709"/>
        <w:jc w:val="both"/>
        <w:rPr>
          <w:rStyle w:val="Hipervnculo"/>
          <w:color w:val="auto"/>
          <w:u w:val="none"/>
        </w:rPr>
      </w:pPr>
      <w:r>
        <w:t>Dammert, A. y García, R. (2020). Las tarifas de gas natural en el Perú. Una comparación de modelos regulatorios</w:t>
      </w:r>
      <w:r>
        <w:rPr>
          <w:i/>
        </w:rPr>
        <w:t>.</w:t>
      </w:r>
      <w:r>
        <w:t xml:space="preserve"> </w:t>
      </w:r>
      <w:r>
        <w:rPr>
          <w:i/>
        </w:rPr>
        <w:t>Revista de Análisis Económico y Financiero</w:t>
      </w:r>
      <w:r>
        <w:t xml:space="preserve">, </w:t>
      </w:r>
      <w:r>
        <w:rPr>
          <w:i/>
        </w:rPr>
        <w:t>2</w:t>
      </w:r>
      <w:r>
        <w:t>(2). https://www.aulavirtualusmp.pe/ojs/index.php/raef/article/view/1850/2013</w:t>
      </w:r>
    </w:p>
    <w:p w14:paraId="2BD2027A" w14:textId="6A4FCE39" w:rsidR="0072097E" w:rsidRDefault="00000000">
      <w:pPr>
        <w:spacing w:line="360" w:lineRule="auto"/>
        <w:ind w:left="709" w:hanging="709"/>
        <w:jc w:val="both"/>
        <w:rPr>
          <w:rStyle w:val="Hipervnculo"/>
          <w:color w:val="auto"/>
          <w:u w:val="none"/>
          <w:lang w:val="en-US"/>
        </w:rPr>
      </w:pPr>
      <w:proofErr w:type="spellStart"/>
      <w:r>
        <w:t>Estache</w:t>
      </w:r>
      <w:proofErr w:type="spellEnd"/>
      <w:r>
        <w:t xml:space="preserve">, A., </w:t>
      </w:r>
      <w:proofErr w:type="spellStart"/>
      <w:r>
        <w:t>Rodriguez</w:t>
      </w:r>
      <w:proofErr w:type="spellEnd"/>
      <w:r>
        <w:t xml:space="preserve">, M., </w:t>
      </w:r>
      <w:proofErr w:type="spellStart"/>
      <w:r>
        <w:t>Rodriguez</w:t>
      </w:r>
      <w:proofErr w:type="spellEnd"/>
      <w:r>
        <w:t xml:space="preserve">, J. M., </w:t>
      </w:r>
      <w:proofErr w:type="spellStart"/>
      <w:r>
        <w:t>Sember</w:t>
      </w:r>
      <w:proofErr w:type="spellEnd"/>
      <w:r>
        <w:t xml:space="preserve">, G. (2003). </w:t>
      </w:r>
      <w:r>
        <w:rPr>
          <w:lang w:val="en-US"/>
        </w:rPr>
        <w:t xml:space="preserve">An Introduction to Financial and Economic Modeling for Utility Regulators. </w:t>
      </w:r>
      <w:r>
        <w:rPr>
          <w:i/>
          <w:iCs/>
          <w:lang w:val="en-US"/>
        </w:rPr>
        <w:t>Policy Research Working Paper</w:t>
      </w:r>
      <w:r>
        <w:rPr>
          <w:lang w:val="en-US"/>
        </w:rPr>
        <w:t xml:space="preserve">, </w:t>
      </w:r>
      <w:r>
        <w:rPr>
          <w:i/>
          <w:lang w:val="en-US"/>
        </w:rPr>
        <w:t>3001</w:t>
      </w:r>
      <w:r>
        <w:rPr>
          <w:lang w:val="en-US"/>
        </w:rPr>
        <w:t xml:space="preserve">, World Bank. </w:t>
      </w:r>
      <w:r w:rsidRPr="0039141E">
        <w:rPr>
          <w:lang w:val="en-US"/>
        </w:rPr>
        <w:t>http://hdl.handle.net/10986/18275</w:t>
      </w:r>
    </w:p>
    <w:p w14:paraId="32B5D6B1" w14:textId="77777777" w:rsidR="0072097E" w:rsidRDefault="00000000">
      <w:pPr>
        <w:spacing w:line="360" w:lineRule="auto"/>
        <w:ind w:left="709" w:hanging="709"/>
        <w:jc w:val="both"/>
        <w:rPr>
          <w:rStyle w:val="Hipervnculo"/>
          <w:color w:val="000000"/>
          <w:u w:val="none"/>
          <w:lang w:val="en-US"/>
        </w:rPr>
      </w:pPr>
      <w:proofErr w:type="spellStart"/>
      <w:r>
        <w:rPr>
          <w:lang w:val="en-US"/>
        </w:rPr>
        <w:t>Fylstra</w:t>
      </w:r>
      <w:proofErr w:type="spellEnd"/>
      <w:r>
        <w:rPr>
          <w:lang w:val="en-US"/>
        </w:rPr>
        <w:t xml:space="preserve">, D., </w:t>
      </w:r>
      <w:proofErr w:type="spellStart"/>
      <w:r>
        <w:rPr>
          <w:lang w:val="en-US"/>
        </w:rPr>
        <w:t>Lasdon</w:t>
      </w:r>
      <w:proofErr w:type="spellEnd"/>
      <w:r>
        <w:rPr>
          <w:lang w:val="en-US"/>
        </w:rPr>
        <w:t xml:space="preserve">, L., Watson, J. and </w:t>
      </w:r>
      <w:proofErr w:type="spellStart"/>
      <w:r>
        <w:rPr>
          <w:lang w:val="en-US"/>
        </w:rPr>
        <w:t>Waren</w:t>
      </w:r>
      <w:proofErr w:type="spellEnd"/>
      <w:r>
        <w:rPr>
          <w:lang w:val="en-US"/>
        </w:rPr>
        <w:t>, A. (1998). Design and Use of the Microsoft Excel Solver</w:t>
      </w:r>
      <w:r>
        <w:rPr>
          <w:i/>
          <w:lang w:val="en-US"/>
        </w:rPr>
        <w:t>.</w:t>
      </w:r>
      <w:r>
        <w:rPr>
          <w:lang w:val="en-US"/>
        </w:rPr>
        <w:t xml:space="preserve"> </w:t>
      </w:r>
      <w:r>
        <w:rPr>
          <w:i/>
          <w:lang w:val="en-US"/>
        </w:rPr>
        <w:t>Interfaces</w:t>
      </w:r>
      <w:r>
        <w:rPr>
          <w:lang w:val="en-US"/>
        </w:rPr>
        <w:t xml:space="preserve">. </w:t>
      </w:r>
      <w:r>
        <w:rPr>
          <w:i/>
          <w:lang w:val="en-US"/>
        </w:rPr>
        <w:t>28</w:t>
      </w:r>
      <w:r>
        <w:rPr>
          <w:lang w:val="en-US"/>
        </w:rPr>
        <w:t>, 29-55. doi:10.1287/inte.28.5.29</w:t>
      </w:r>
    </w:p>
    <w:p w14:paraId="04FA0C03" w14:textId="77777777" w:rsidR="0072097E" w:rsidRDefault="00000000">
      <w:pPr>
        <w:spacing w:line="360" w:lineRule="auto"/>
        <w:ind w:left="709" w:hanging="709"/>
        <w:jc w:val="both"/>
        <w:rPr>
          <w:lang w:val="en-US"/>
        </w:rPr>
      </w:pPr>
      <w:proofErr w:type="spellStart"/>
      <w:r>
        <w:rPr>
          <w:rStyle w:val="Hipervnculo"/>
          <w:color w:val="000000" w:themeColor="text1"/>
          <w:u w:val="none"/>
          <w:lang w:val="en-US"/>
        </w:rPr>
        <w:t>Laffont</w:t>
      </w:r>
      <w:proofErr w:type="spellEnd"/>
      <w:r>
        <w:rPr>
          <w:rStyle w:val="Hipervnculo"/>
          <w:color w:val="000000" w:themeColor="text1"/>
          <w:u w:val="none"/>
          <w:lang w:val="en-US"/>
        </w:rPr>
        <w:t xml:space="preserve">, J.-J. y </w:t>
      </w:r>
      <w:proofErr w:type="spellStart"/>
      <w:r>
        <w:rPr>
          <w:rStyle w:val="Hipervnculo"/>
          <w:color w:val="000000" w:themeColor="text1"/>
          <w:u w:val="none"/>
          <w:lang w:val="en-US"/>
        </w:rPr>
        <w:t>Tirole</w:t>
      </w:r>
      <w:proofErr w:type="spellEnd"/>
      <w:r>
        <w:rPr>
          <w:rStyle w:val="Hipervnculo"/>
          <w:color w:val="000000" w:themeColor="text1"/>
          <w:u w:val="none"/>
          <w:lang w:val="en-US"/>
        </w:rPr>
        <w:t xml:space="preserve">, J. (1991). The Politics of Government Decision-Making: A Theory of Regulatory Capture. </w:t>
      </w:r>
      <w:r>
        <w:rPr>
          <w:rStyle w:val="Hipervnculo"/>
          <w:i/>
          <w:iCs/>
          <w:color w:val="000000" w:themeColor="text1"/>
          <w:u w:val="none"/>
          <w:lang w:val="en-US"/>
        </w:rPr>
        <w:t>The Quarterly Journal of Economics</w:t>
      </w:r>
      <w:r>
        <w:rPr>
          <w:rStyle w:val="Hipervnculo"/>
          <w:color w:val="000000" w:themeColor="text1"/>
          <w:u w:val="none"/>
          <w:lang w:val="en-US"/>
        </w:rPr>
        <w:t xml:space="preserve">, </w:t>
      </w:r>
      <w:r>
        <w:rPr>
          <w:rStyle w:val="Hipervnculo"/>
          <w:i/>
          <w:color w:val="000000" w:themeColor="text1"/>
          <w:u w:val="none"/>
          <w:lang w:val="en-US"/>
        </w:rPr>
        <w:t>106</w:t>
      </w:r>
      <w:r>
        <w:rPr>
          <w:rStyle w:val="Hipervnculo"/>
          <w:color w:val="000000" w:themeColor="text1"/>
          <w:u w:val="none"/>
          <w:lang w:val="en-US"/>
        </w:rPr>
        <w:t>(4), 1089–1127. https://doi.org/10.2307/2937958</w:t>
      </w:r>
    </w:p>
    <w:p w14:paraId="07AB7C0D" w14:textId="77777777" w:rsidR="0072097E" w:rsidRDefault="00000000">
      <w:pPr>
        <w:spacing w:line="360" w:lineRule="auto"/>
        <w:ind w:left="709" w:hanging="709"/>
        <w:jc w:val="both"/>
        <w:rPr>
          <w:lang w:val="en-US"/>
        </w:rPr>
      </w:pPr>
      <w:r>
        <w:rPr>
          <w:lang w:val="en-US"/>
        </w:rPr>
        <w:t xml:space="preserve">Lesser, J. A., </w:t>
      </w:r>
      <w:proofErr w:type="spellStart"/>
      <w:r>
        <w:rPr>
          <w:lang w:val="en-US"/>
        </w:rPr>
        <w:t>Giacchino</w:t>
      </w:r>
      <w:proofErr w:type="spellEnd"/>
      <w:r>
        <w:rPr>
          <w:lang w:val="en-US"/>
        </w:rPr>
        <w:t xml:space="preserve">, L. R. (2007). </w:t>
      </w:r>
      <w:r>
        <w:rPr>
          <w:i/>
          <w:iCs/>
          <w:lang w:val="en-US"/>
        </w:rPr>
        <w:t>Fundamentals of energy regulation</w:t>
      </w:r>
      <w:r>
        <w:rPr>
          <w:lang w:val="en-US"/>
        </w:rPr>
        <w:t>. (1ra ed.). Public Utilities Reports, Inc.</w:t>
      </w:r>
    </w:p>
    <w:p w14:paraId="58C2B199" w14:textId="77777777" w:rsidR="0072097E" w:rsidRDefault="00000000">
      <w:pPr>
        <w:spacing w:line="360" w:lineRule="auto"/>
        <w:ind w:left="709" w:hanging="709"/>
        <w:jc w:val="both"/>
        <w:rPr>
          <w:color w:val="000000"/>
        </w:rPr>
      </w:pPr>
      <w:proofErr w:type="spellStart"/>
      <w:r>
        <w:rPr>
          <w:color w:val="000000" w:themeColor="text1"/>
          <w:lang w:val="en-US"/>
        </w:rPr>
        <w:t>Londoño</w:t>
      </w:r>
      <w:proofErr w:type="spellEnd"/>
      <w:r>
        <w:rPr>
          <w:color w:val="000000" w:themeColor="text1"/>
          <w:lang w:val="en-US"/>
        </w:rPr>
        <w:t xml:space="preserve">, R. D. A., Boada, A. (2017). </w:t>
      </w:r>
      <w:r>
        <w:rPr>
          <w:color w:val="000000" w:themeColor="text1"/>
        </w:rPr>
        <w:t xml:space="preserve">Enseñanza con el uso directo de las TIC. Potencialidades del </w:t>
      </w:r>
      <w:proofErr w:type="spellStart"/>
      <w:r>
        <w:rPr>
          <w:color w:val="000000" w:themeColor="text1"/>
        </w:rPr>
        <w:t>Solver</w:t>
      </w:r>
      <w:proofErr w:type="spellEnd"/>
      <w:r>
        <w:rPr>
          <w:color w:val="000000" w:themeColor="text1"/>
        </w:rPr>
        <w:t xml:space="preserve"> (Microsoft Excel) para la Enseñanza de Programación Lineal y Modelos de Transporte</w:t>
      </w:r>
      <w:r>
        <w:rPr>
          <w:i/>
          <w:color w:val="000000" w:themeColor="text1"/>
        </w:rPr>
        <w:t>.</w:t>
      </w:r>
      <w:r>
        <w:rPr>
          <w:color w:val="000000" w:themeColor="text1"/>
        </w:rPr>
        <w:t xml:space="preserve"> </w:t>
      </w:r>
      <w:r>
        <w:rPr>
          <w:i/>
          <w:color w:val="000000" w:themeColor="text1"/>
        </w:rPr>
        <w:t>Memorias Arbitradas en XVIII Virtual Educa Colombia 2017</w:t>
      </w:r>
      <w:r>
        <w:rPr>
          <w:color w:val="000000" w:themeColor="text1"/>
        </w:rPr>
        <w:t>. https://www.researchgate.net/publication/317624466</w:t>
      </w:r>
    </w:p>
    <w:p w14:paraId="4024213C" w14:textId="075AEDDD" w:rsidR="0072097E" w:rsidRDefault="00000000">
      <w:pPr>
        <w:spacing w:line="360" w:lineRule="auto"/>
        <w:ind w:left="709" w:hanging="709"/>
        <w:jc w:val="both"/>
        <w:rPr>
          <w:rStyle w:val="Hipervnculo"/>
          <w:lang w:val="en-US"/>
        </w:rPr>
      </w:pPr>
      <w:proofErr w:type="spellStart"/>
      <w:r>
        <w:rPr>
          <w:lang w:val="en-US"/>
        </w:rPr>
        <w:t>Martimort</w:t>
      </w:r>
      <w:proofErr w:type="spellEnd"/>
      <w:r>
        <w:rPr>
          <w:lang w:val="en-US"/>
        </w:rPr>
        <w:t xml:space="preserve">, D. (1999). The Life Cycle of Regulatory Agencies: Dynamic Capture and Transaction Costs. </w:t>
      </w:r>
      <w:r>
        <w:rPr>
          <w:i/>
          <w:iCs/>
          <w:lang w:val="en-US"/>
        </w:rPr>
        <w:t>The Review of Economic Studies</w:t>
      </w:r>
      <w:r>
        <w:rPr>
          <w:lang w:val="en-US"/>
        </w:rPr>
        <w:t xml:space="preserve">, </w:t>
      </w:r>
      <w:r>
        <w:rPr>
          <w:i/>
          <w:lang w:val="en-US"/>
        </w:rPr>
        <w:t>66</w:t>
      </w:r>
      <w:r>
        <w:rPr>
          <w:lang w:val="en-US"/>
        </w:rPr>
        <w:t xml:space="preserve">(4), 929–947. </w:t>
      </w:r>
      <w:r w:rsidRPr="00B71F87">
        <w:rPr>
          <w:lang w:val="en-US"/>
        </w:rPr>
        <w:t>http://www.jstor.org/stable/2566926</w:t>
      </w:r>
    </w:p>
    <w:p w14:paraId="5E512EED" w14:textId="54CC61AD" w:rsidR="005162F3" w:rsidRPr="005162F3" w:rsidRDefault="005162F3">
      <w:pPr>
        <w:spacing w:line="360" w:lineRule="auto"/>
        <w:ind w:left="709" w:hanging="709"/>
        <w:jc w:val="both"/>
        <w:rPr>
          <w:rStyle w:val="Hipervnculo"/>
        </w:rPr>
      </w:pPr>
      <w:r w:rsidRPr="005162F3">
        <w:rPr>
          <w:color w:val="171717"/>
          <w:shd w:val="clear" w:color="auto" w:fill="FFFFFF"/>
        </w:rPr>
        <w:t>Micheli, J., Romero, M</w:t>
      </w:r>
      <w:r w:rsidR="00747203">
        <w:rPr>
          <w:color w:val="171717"/>
          <w:shd w:val="clear" w:color="auto" w:fill="FFFFFF"/>
        </w:rPr>
        <w:t>.</w:t>
      </w:r>
      <w:proofErr w:type="gramStart"/>
      <w:r w:rsidR="00747203">
        <w:rPr>
          <w:color w:val="171717"/>
          <w:shd w:val="clear" w:color="auto" w:fill="FFFFFF"/>
        </w:rPr>
        <w:t xml:space="preserve">, </w:t>
      </w:r>
      <w:r w:rsidRPr="005162F3">
        <w:rPr>
          <w:color w:val="171717"/>
          <w:shd w:val="clear" w:color="auto" w:fill="FFFFFF"/>
        </w:rPr>
        <w:t xml:space="preserve"> Valle</w:t>
      </w:r>
      <w:proofErr w:type="gramEnd"/>
      <w:r w:rsidRPr="005162F3">
        <w:rPr>
          <w:color w:val="171717"/>
          <w:shd w:val="clear" w:color="auto" w:fill="FFFFFF"/>
        </w:rPr>
        <w:t xml:space="preserve">, E. (2013) El Gas Natural y su geografía industrial en México, México, Universidad Autónoma Metropolitana Azcapotzalco 2013. </w:t>
      </w:r>
    </w:p>
    <w:p w14:paraId="451BCECB" w14:textId="375ADD8E" w:rsidR="0072097E" w:rsidRPr="0039141E" w:rsidRDefault="00000000">
      <w:pPr>
        <w:spacing w:line="360" w:lineRule="auto"/>
        <w:ind w:left="709" w:hanging="709"/>
        <w:jc w:val="both"/>
        <w:rPr>
          <w:color w:val="000000"/>
          <w:lang w:val="en-US"/>
        </w:rPr>
      </w:pPr>
      <w:r>
        <w:rPr>
          <w:rStyle w:val="Hipervnculo"/>
          <w:color w:val="000000" w:themeColor="text1"/>
          <w:u w:val="none"/>
        </w:rPr>
        <w:t xml:space="preserve">Organización para la Cooperación y el Desarrollo Económicos [OCDE]. </w:t>
      </w:r>
      <w:r>
        <w:rPr>
          <w:rStyle w:val="Hipervnculo"/>
          <w:color w:val="000000" w:themeColor="text1"/>
          <w:u w:val="none"/>
          <w:lang w:val="en-US"/>
        </w:rPr>
        <w:t xml:space="preserve">(2014). </w:t>
      </w:r>
      <w:r>
        <w:rPr>
          <w:rStyle w:val="Hipervnculo"/>
          <w:i/>
          <w:iCs/>
          <w:color w:val="000000" w:themeColor="text1"/>
          <w:u w:val="none"/>
          <w:lang w:val="en-US"/>
        </w:rPr>
        <w:t xml:space="preserve">Best Practice Principles for Regulatory Policy, The Governance of Regulators. </w:t>
      </w:r>
      <w:r w:rsidRPr="0039141E">
        <w:rPr>
          <w:lang w:val="en-US"/>
        </w:rPr>
        <w:t>https://www.oecd.org/gov/regulatory-policy/Flyer-Governance-of-regulators.pdf</w:t>
      </w:r>
    </w:p>
    <w:p w14:paraId="56D90CF9" w14:textId="7396A40A" w:rsidR="0072097E" w:rsidRDefault="00000000">
      <w:pPr>
        <w:spacing w:line="360" w:lineRule="auto"/>
        <w:ind w:left="709" w:hanging="709"/>
        <w:jc w:val="both"/>
        <w:rPr>
          <w:color w:val="000000"/>
        </w:rPr>
      </w:pPr>
      <w:r>
        <w:lastRenderedPageBreak/>
        <w:t xml:space="preserve">Ortiz, F., Ramírez, J. C., Rosellón, J. (2021). Los efectos de las reformas del mercado de gas natural en México sobre sus precios, ventas y comercio exterior. </w:t>
      </w:r>
      <w:r>
        <w:rPr>
          <w:i/>
          <w:iCs/>
        </w:rPr>
        <w:t>Contaduría y administración</w:t>
      </w:r>
      <w:r>
        <w:t xml:space="preserve">, </w:t>
      </w:r>
      <w:r>
        <w:rPr>
          <w:i/>
        </w:rPr>
        <w:t>66</w:t>
      </w:r>
      <w:r>
        <w:t xml:space="preserve">(3), 1-31. </w:t>
      </w:r>
      <w:r w:rsidRPr="0039141E">
        <w:t>https://doi.org/10.22201/fca.24488410e.2021.2841</w:t>
      </w:r>
    </w:p>
    <w:p w14:paraId="5FD39462" w14:textId="77777777" w:rsidR="0072097E" w:rsidRDefault="00000000">
      <w:pPr>
        <w:spacing w:line="360" w:lineRule="auto"/>
        <w:ind w:left="709" w:hanging="709"/>
        <w:jc w:val="both"/>
        <w:rPr>
          <w:lang w:val="en-US"/>
        </w:rPr>
      </w:pPr>
      <w:proofErr w:type="spellStart"/>
      <w:r w:rsidRPr="0039141E">
        <w:t>Paulson</w:t>
      </w:r>
      <w:proofErr w:type="spellEnd"/>
      <w:r w:rsidRPr="0039141E">
        <w:t xml:space="preserve">, L. (2005). </w:t>
      </w:r>
      <w:r>
        <w:rPr>
          <w:lang w:val="en-US"/>
        </w:rPr>
        <w:t>At Last! An Energy Policy</w:t>
      </w:r>
      <w:r>
        <w:rPr>
          <w:i/>
          <w:lang w:val="en-US"/>
        </w:rPr>
        <w:t>. American Gas</w:t>
      </w:r>
      <w:r>
        <w:rPr>
          <w:lang w:val="en-US"/>
        </w:rPr>
        <w:t xml:space="preserve">, </w:t>
      </w:r>
      <w:r>
        <w:rPr>
          <w:i/>
          <w:lang w:val="en-US"/>
        </w:rPr>
        <w:t>87</w:t>
      </w:r>
      <w:r>
        <w:rPr>
          <w:lang w:val="en-US"/>
        </w:rPr>
        <w:t>(8), 20-23. https://search.ebscohost.com/login.aspx?direct=true&amp;db=bth&amp;AN=18457309&amp;site=ehost-live</w:t>
      </w:r>
    </w:p>
    <w:p w14:paraId="52F04AF8" w14:textId="3FCC06FC" w:rsidR="0072097E" w:rsidRDefault="00000000">
      <w:pPr>
        <w:spacing w:line="360" w:lineRule="auto"/>
        <w:ind w:left="709" w:hanging="709"/>
        <w:jc w:val="both"/>
        <w:rPr>
          <w:color w:val="000000"/>
          <w:lang w:val="en-US"/>
        </w:rPr>
      </w:pPr>
      <w:r>
        <w:rPr>
          <w:lang w:val="en-US"/>
        </w:rPr>
        <w:t>Phillips, C. F.</w:t>
      </w:r>
      <w:r w:rsidR="00123D53">
        <w:rPr>
          <w:lang w:val="en-US"/>
        </w:rPr>
        <w:t xml:space="preserve">, </w:t>
      </w:r>
      <w:r>
        <w:rPr>
          <w:lang w:val="en-US"/>
        </w:rPr>
        <w:t xml:space="preserve">Brown, R. G. (1993). </w:t>
      </w:r>
      <w:r>
        <w:rPr>
          <w:i/>
          <w:iCs/>
          <w:lang w:val="en-US"/>
        </w:rPr>
        <w:t>The</w:t>
      </w:r>
      <w:r>
        <w:rPr>
          <w:lang w:val="en-US"/>
        </w:rPr>
        <w:t xml:space="preserve"> </w:t>
      </w:r>
      <w:r>
        <w:rPr>
          <w:i/>
          <w:iCs/>
          <w:lang w:val="en-US"/>
        </w:rPr>
        <w:t xml:space="preserve">Regulation of Public Utilities: Theory and Practice. </w:t>
      </w:r>
      <w:r>
        <w:rPr>
          <w:lang w:val="en-US"/>
        </w:rPr>
        <w:t>(3ra ed.)</w:t>
      </w:r>
      <w:r>
        <w:rPr>
          <w:i/>
          <w:iCs/>
          <w:lang w:val="en-US"/>
        </w:rPr>
        <w:t>.</w:t>
      </w:r>
      <w:r>
        <w:rPr>
          <w:lang w:val="en-US"/>
        </w:rPr>
        <w:t xml:space="preserve"> Public Utilities Reports, Inc. </w:t>
      </w:r>
    </w:p>
    <w:p w14:paraId="6778DDFD" w14:textId="02F583B9" w:rsidR="0072097E" w:rsidRPr="00B71F87" w:rsidRDefault="00000000">
      <w:pPr>
        <w:spacing w:line="360" w:lineRule="auto"/>
        <w:ind w:left="709" w:hanging="709"/>
        <w:jc w:val="both"/>
        <w:rPr>
          <w:color w:val="000000"/>
          <w:lang w:val="en-US"/>
        </w:rPr>
      </w:pPr>
      <w:r>
        <w:rPr>
          <w:lang w:val="en-US"/>
        </w:rPr>
        <w:t xml:space="preserve">Posner, R. A. (1974). Theories of Economic Regulation. </w:t>
      </w:r>
      <w:r>
        <w:rPr>
          <w:i/>
          <w:iCs/>
          <w:lang w:val="en-US"/>
        </w:rPr>
        <w:t>The Bell Journal of Economics and Management Science</w:t>
      </w:r>
      <w:r>
        <w:rPr>
          <w:lang w:val="en-US"/>
        </w:rPr>
        <w:t xml:space="preserve">, </w:t>
      </w:r>
      <w:r>
        <w:rPr>
          <w:i/>
          <w:lang w:val="en-US"/>
        </w:rPr>
        <w:t>5</w:t>
      </w:r>
      <w:r>
        <w:rPr>
          <w:lang w:val="en-US"/>
        </w:rPr>
        <w:t xml:space="preserve">(2), pp. 335–358. </w:t>
      </w:r>
      <w:r w:rsidRPr="00B71F87">
        <w:rPr>
          <w:lang w:val="en-US"/>
        </w:rPr>
        <w:t>https://doi.org/10.2307/3003113</w:t>
      </w:r>
    </w:p>
    <w:p w14:paraId="6E3EA32E" w14:textId="48877733" w:rsidR="0072097E" w:rsidRDefault="00000000">
      <w:pPr>
        <w:spacing w:line="360" w:lineRule="auto"/>
        <w:ind w:left="709" w:hanging="709"/>
        <w:jc w:val="both"/>
        <w:rPr>
          <w:color w:val="000000"/>
          <w:highlight w:val="yellow"/>
        </w:rPr>
      </w:pPr>
      <w:r>
        <w:t xml:space="preserve">Ramírez, J. C., Rosellón, J. (2000). La regulación de las tarifas de distribución de gas natural en México: un modelo estocástico. </w:t>
      </w:r>
      <w:r>
        <w:rPr>
          <w:i/>
          <w:iCs/>
        </w:rPr>
        <w:t>El Trimestre Económico</w:t>
      </w:r>
      <w:r>
        <w:t xml:space="preserve">, </w:t>
      </w:r>
      <w:r>
        <w:rPr>
          <w:i/>
        </w:rPr>
        <w:t>67</w:t>
      </w:r>
      <w:r>
        <w:t xml:space="preserve">(266)2, 239–276. </w:t>
      </w:r>
      <w:r w:rsidRPr="00B71F87">
        <w:t>http://www.jstor.org/stable/20857023</w:t>
      </w:r>
      <w:r>
        <w:rPr>
          <w:color w:val="000000" w:themeColor="text1"/>
        </w:rPr>
        <w:t>.</w:t>
      </w:r>
    </w:p>
    <w:p w14:paraId="74071C36" w14:textId="66309DE7" w:rsidR="0072097E" w:rsidRDefault="00000000">
      <w:pPr>
        <w:spacing w:line="360" w:lineRule="auto"/>
        <w:ind w:left="709" w:hanging="709"/>
        <w:jc w:val="both"/>
      </w:pPr>
      <w:proofErr w:type="spellStart"/>
      <w:r>
        <w:t>Rodriguez</w:t>
      </w:r>
      <w:proofErr w:type="spellEnd"/>
      <w:r>
        <w:t xml:space="preserve">, M., </w:t>
      </w:r>
      <w:proofErr w:type="spellStart"/>
      <w:r>
        <w:t>Schlirf</w:t>
      </w:r>
      <w:proofErr w:type="spellEnd"/>
      <w:r>
        <w:t xml:space="preserve">, R., Groom, E. (2008). </w:t>
      </w:r>
      <w:r>
        <w:rPr>
          <w:i/>
          <w:iCs/>
          <w:lang w:val="en-US"/>
        </w:rPr>
        <w:t>Accounting for Infrastructure Regulation: An Introduction.</w:t>
      </w:r>
      <w:r>
        <w:rPr>
          <w:lang w:val="en-US"/>
        </w:rPr>
        <w:t xml:space="preserve"> </w:t>
      </w:r>
      <w:proofErr w:type="spellStart"/>
      <w:r>
        <w:t>World</w:t>
      </w:r>
      <w:proofErr w:type="spellEnd"/>
      <w:r>
        <w:t xml:space="preserve"> Bank. </w:t>
      </w:r>
      <w:r w:rsidRPr="0039141E">
        <w:t>http://hdl.handle.net/10986/6426</w:t>
      </w:r>
    </w:p>
    <w:p w14:paraId="4FD2313D" w14:textId="77777777" w:rsidR="0072097E" w:rsidRDefault="00000000">
      <w:pPr>
        <w:spacing w:line="360" w:lineRule="auto"/>
        <w:ind w:left="709" w:hanging="709"/>
        <w:jc w:val="both"/>
        <w:rPr>
          <w:color w:val="000000"/>
        </w:rPr>
      </w:pPr>
      <w:proofErr w:type="spellStart"/>
      <w:r>
        <w:rPr>
          <w:color w:val="000000" w:themeColor="text1"/>
        </w:rPr>
        <w:t>Serrani</w:t>
      </w:r>
      <w:proofErr w:type="spellEnd"/>
      <w:r>
        <w:rPr>
          <w:color w:val="000000" w:themeColor="text1"/>
        </w:rPr>
        <w:t xml:space="preserve">, E. (2020). Modelos de regulación de servicios públicos de gas natural en Argentina, 1967-2017. </w:t>
      </w:r>
      <w:r>
        <w:rPr>
          <w:i/>
          <w:color w:val="000000" w:themeColor="text1"/>
        </w:rPr>
        <w:t>América Latina en la historia económica</w:t>
      </w:r>
      <w:r>
        <w:rPr>
          <w:color w:val="000000" w:themeColor="text1"/>
        </w:rPr>
        <w:t xml:space="preserve">, </w:t>
      </w:r>
      <w:r>
        <w:rPr>
          <w:i/>
          <w:color w:val="000000" w:themeColor="text1"/>
        </w:rPr>
        <w:t>27</w:t>
      </w:r>
      <w:r>
        <w:rPr>
          <w:color w:val="000000" w:themeColor="text1"/>
        </w:rPr>
        <w:t>(2). https://doi.org/10.18232/alhe.1062</w:t>
      </w:r>
    </w:p>
    <w:p w14:paraId="4DB7C11C" w14:textId="3A69BD78" w:rsidR="0072097E" w:rsidRDefault="00000000">
      <w:pPr>
        <w:spacing w:line="360" w:lineRule="auto"/>
        <w:ind w:left="709" w:hanging="709"/>
        <w:jc w:val="both"/>
        <w:rPr>
          <w:color w:val="000000"/>
          <w:lang w:val="en-US"/>
        </w:rPr>
      </w:pPr>
      <w:r>
        <w:rPr>
          <w:lang w:val="en-US"/>
        </w:rPr>
        <w:t xml:space="preserve">Sunita, K., </w:t>
      </w:r>
      <w:proofErr w:type="spellStart"/>
      <w:r>
        <w:rPr>
          <w:lang w:val="en-US"/>
        </w:rPr>
        <w:t>Nellis</w:t>
      </w:r>
      <w:proofErr w:type="spellEnd"/>
      <w:r>
        <w:rPr>
          <w:lang w:val="en-US"/>
        </w:rPr>
        <w:t>, J. (2004). An Assessment of Privatization</w:t>
      </w:r>
      <w:r>
        <w:rPr>
          <w:i/>
          <w:iCs/>
          <w:lang w:val="en-US"/>
        </w:rPr>
        <w:t xml:space="preserve">. </w:t>
      </w:r>
      <w:r>
        <w:rPr>
          <w:lang w:val="en-US"/>
        </w:rPr>
        <w:t>T</w:t>
      </w:r>
      <w:r>
        <w:rPr>
          <w:i/>
          <w:iCs/>
          <w:lang w:val="en-US"/>
        </w:rPr>
        <w:t>he World Bank Research Observer</w:t>
      </w:r>
      <w:r>
        <w:rPr>
          <w:lang w:val="en-US"/>
        </w:rPr>
        <w:t xml:space="preserve">, </w:t>
      </w:r>
      <w:r>
        <w:rPr>
          <w:i/>
          <w:lang w:val="en-US"/>
        </w:rPr>
        <w:t>19</w:t>
      </w:r>
      <w:r>
        <w:rPr>
          <w:lang w:val="en-US"/>
        </w:rPr>
        <w:t xml:space="preserve">(1), 87–118. </w:t>
      </w:r>
      <w:r w:rsidRPr="00B71F87">
        <w:rPr>
          <w:lang w:val="en-US"/>
        </w:rPr>
        <w:t>http://www.jstor.org/stable/3986494</w:t>
      </w:r>
    </w:p>
    <w:p w14:paraId="1D7821BF" w14:textId="76C2B96B" w:rsidR="0072097E" w:rsidRDefault="00000000">
      <w:pPr>
        <w:spacing w:line="360" w:lineRule="auto"/>
        <w:ind w:left="709" w:hanging="709"/>
        <w:jc w:val="both"/>
        <w:rPr>
          <w:rStyle w:val="Hipervnculo"/>
          <w:color w:val="000000"/>
          <w:highlight w:val="yellow"/>
          <w:u w:val="none"/>
          <w:lang w:val="en-US"/>
        </w:rPr>
      </w:pPr>
      <w:r>
        <w:rPr>
          <w:lang w:val="en-US"/>
        </w:rPr>
        <w:t xml:space="preserve">Stigler, G. J. (1971). The Theory of Economic Regulation. </w:t>
      </w:r>
      <w:r>
        <w:rPr>
          <w:i/>
          <w:iCs/>
          <w:lang w:val="en-US"/>
        </w:rPr>
        <w:t>The Bell Journal of Economics and Management Science</w:t>
      </w:r>
      <w:r>
        <w:rPr>
          <w:lang w:val="en-US"/>
        </w:rPr>
        <w:t xml:space="preserve">, </w:t>
      </w:r>
      <w:r>
        <w:rPr>
          <w:i/>
          <w:lang w:val="en-US"/>
        </w:rPr>
        <w:t>2</w:t>
      </w:r>
      <w:r>
        <w:rPr>
          <w:lang w:val="en-US"/>
        </w:rPr>
        <w:t xml:space="preserve">(1), 3–21. </w:t>
      </w:r>
      <w:r w:rsidRPr="00B71F87">
        <w:rPr>
          <w:lang w:val="en-US"/>
        </w:rPr>
        <w:t>https://doi.org/10.2307/3003160</w:t>
      </w:r>
    </w:p>
    <w:p w14:paraId="24B3564F" w14:textId="4CF14AA5" w:rsidR="0072097E" w:rsidRDefault="00000000">
      <w:pPr>
        <w:spacing w:line="360" w:lineRule="auto"/>
        <w:ind w:left="709" w:hanging="709"/>
        <w:jc w:val="both"/>
        <w:rPr>
          <w:rStyle w:val="Hipervnculo"/>
          <w:lang w:val="en-US"/>
        </w:rPr>
      </w:pPr>
      <w:proofErr w:type="spellStart"/>
      <w:r>
        <w:rPr>
          <w:color w:val="000000" w:themeColor="text1"/>
          <w:lang w:val="en-US"/>
        </w:rPr>
        <w:t>Veljanovski</w:t>
      </w:r>
      <w:proofErr w:type="spellEnd"/>
      <w:r>
        <w:rPr>
          <w:color w:val="000000" w:themeColor="text1"/>
          <w:lang w:val="en-US"/>
        </w:rPr>
        <w:t xml:space="preserve">, C. (2010). Economic Approaches to Regulation. In Robert Baldwin, </w:t>
      </w:r>
      <w:r>
        <w:rPr>
          <w:lang w:val="en-US"/>
        </w:rPr>
        <w:t xml:space="preserve">Martin Cave, and Martin Lodge (eds). </w:t>
      </w:r>
      <w:r>
        <w:rPr>
          <w:i/>
          <w:iCs/>
          <w:lang w:val="en-US"/>
        </w:rPr>
        <w:t>The Oxford Handbook of Regulation</w:t>
      </w:r>
      <w:r>
        <w:rPr>
          <w:lang w:val="en-US"/>
        </w:rPr>
        <w:t xml:space="preserve">, 17-38. Oxford Academic. </w:t>
      </w:r>
      <w:r w:rsidRPr="00B71F87">
        <w:rPr>
          <w:lang w:val="en-US"/>
        </w:rPr>
        <w:t>https://doi.org/10.1093/oxfordhb/9780199560219.003.0002</w:t>
      </w:r>
    </w:p>
    <w:p w14:paraId="0F02D7D7" w14:textId="77777777" w:rsidR="0072097E" w:rsidRDefault="0072097E">
      <w:pPr>
        <w:spacing w:line="360" w:lineRule="auto"/>
        <w:jc w:val="both"/>
        <w:rPr>
          <w:color w:val="000000"/>
          <w:lang w:val="en-US"/>
        </w:rPr>
      </w:pPr>
    </w:p>
    <w:p w14:paraId="4FE621EF" w14:textId="77777777" w:rsidR="0039141E" w:rsidRDefault="0039141E">
      <w:pPr>
        <w:spacing w:line="360" w:lineRule="auto"/>
        <w:jc w:val="both"/>
        <w:rPr>
          <w:color w:val="000000"/>
          <w:lang w:val="en-US"/>
        </w:rPr>
      </w:pPr>
    </w:p>
    <w:p w14:paraId="761176F2" w14:textId="77777777" w:rsidR="0039141E" w:rsidRDefault="0039141E">
      <w:pPr>
        <w:spacing w:line="360" w:lineRule="auto"/>
        <w:jc w:val="both"/>
        <w:rPr>
          <w:color w:val="000000"/>
          <w:lang w:val="en-US"/>
        </w:rPr>
      </w:pPr>
    </w:p>
    <w:p w14:paraId="6A8A112F" w14:textId="77777777" w:rsidR="0039141E" w:rsidRDefault="0039141E">
      <w:pPr>
        <w:spacing w:line="360" w:lineRule="auto"/>
        <w:jc w:val="both"/>
        <w:rPr>
          <w:color w:val="000000"/>
          <w:lang w:val="en-US"/>
        </w:rPr>
      </w:pPr>
    </w:p>
    <w:p w14:paraId="2A4163A7" w14:textId="77777777" w:rsidR="0039141E" w:rsidRDefault="0039141E">
      <w:pPr>
        <w:spacing w:line="360" w:lineRule="auto"/>
        <w:jc w:val="both"/>
        <w:rPr>
          <w:color w:val="000000"/>
          <w:lang w:val="en-US"/>
        </w:rPr>
      </w:pPr>
    </w:p>
    <w:p w14:paraId="678D8807" w14:textId="77777777" w:rsidR="0039141E" w:rsidRDefault="0039141E">
      <w:pPr>
        <w:spacing w:line="360" w:lineRule="auto"/>
        <w:jc w:val="both"/>
        <w:rPr>
          <w:color w:val="000000"/>
          <w:lang w:val="en-US"/>
        </w:rPr>
      </w:pPr>
    </w:p>
    <w:p w14:paraId="4360B0F0" w14:textId="77777777" w:rsidR="0039141E" w:rsidRDefault="0039141E">
      <w:pPr>
        <w:spacing w:line="360" w:lineRule="auto"/>
        <w:jc w:val="both"/>
        <w:rPr>
          <w:color w:val="000000"/>
          <w:lang w:val="en-US"/>
        </w:rPr>
      </w:pPr>
    </w:p>
    <w:p w14:paraId="5214AD73" w14:textId="77777777" w:rsidR="0039141E" w:rsidRDefault="0039141E">
      <w:pPr>
        <w:spacing w:line="360" w:lineRule="auto"/>
        <w:jc w:val="both"/>
        <w:rPr>
          <w:color w:val="000000"/>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71F87" w:rsidRPr="00B71F87" w14:paraId="20DD0EC0" w14:textId="77777777" w:rsidTr="00B71F87">
        <w:trPr>
          <w:jc w:val="center"/>
        </w:trPr>
        <w:tc>
          <w:tcPr>
            <w:tcW w:w="3045" w:type="dxa"/>
            <w:shd w:val="clear" w:color="auto" w:fill="auto"/>
            <w:tcMar>
              <w:top w:w="100" w:type="dxa"/>
              <w:left w:w="100" w:type="dxa"/>
              <w:bottom w:w="100" w:type="dxa"/>
              <w:right w:w="100" w:type="dxa"/>
            </w:tcMar>
          </w:tcPr>
          <w:p w14:paraId="50F16898" w14:textId="77777777" w:rsidR="00B71F87" w:rsidRPr="00B71F87" w:rsidRDefault="00B71F87" w:rsidP="00ED7805">
            <w:pPr>
              <w:pStyle w:val="Ttulo3"/>
              <w:widowControl w:val="0"/>
              <w:spacing w:before="0" w:line="240" w:lineRule="auto"/>
              <w:ind w:left="0"/>
              <w:rPr>
                <w:rFonts w:ascii="Times New Roman" w:hAnsi="Times New Roman" w:cs="Times New Roman"/>
                <w:b w:val="0"/>
                <w:bCs/>
                <w:color w:val="000000" w:themeColor="text1"/>
                <w:lang w:val="es-MX"/>
              </w:rPr>
            </w:pPr>
            <w:r w:rsidRPr="00B71F8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8466D54" w14:textId="297BF752" w:rsidR="00B71F87" w:rsidRPr="00B71F87" w:rsidRDefault="00B71F87" w:rsidP="00ED7805">
            <w:pPr>
              <w:pStyle w:val="Ttulo3"/>
              <w:widowControl w:val="0"/>
              <w:spacing w:before="0" w:line="240" w:lineRule="auto"/>
              <w:ind w:left="0"/>
              <w:rPr>
                <w:rFonts w:ascii="Times New Roman" w:hAnsi="Times New Roman" w:cs="Times New Roman"/>
                <w:b w:val="0"/>
                <w:bCs/>
                <w:color w:val="000000" w:themeColor="text1"/>
                <w:lang w:val="es-MX"/>
              </w:rPr>
            </w:pPr>
            <w:bookmarkStart w:id="6" w:name="_btsjgdfgjwkr" w:colFirst="0" w:colLast="0"/>
            <w:bookmarkEnd w:id="6"/>
            <w:r>
              <w:rPr>
                <w:rFonts w:ascii="Times New Roman" w:hAnsi="Times New Roman" w:cs="Times New Roman"/>
                <w:b w:val="0"/>
                <w:bCs/>
                <w:color w:val="000000" w:themeColor="text1"/>
                <w:lang w:val="es-MX"/>
              </w:rPr>
              <w:t>Autor (es)</w:t>
            </w:r>
          </w:p>
        </w:tc>
      </w:tr>
      <w:tr w:rsidR="00B71F87" w:rsidRPr="00B71F87" w14:paraId="114510FB" w14:textId="77777777" w:rsidTr="00B71F87">
        <w:trPr>
          <w:jc w:val="center"/>
        </w:trPr>
        <w:tc>
          <w:tcPr>
            <w:tcW w:w="3045" w:type="dxa"/>
            <w:shd w:val="clear" w:color="auto" w:fill="auto"/>
            <w:tcMar>
              <w:top w:w="100" w:type="dxa"/>
              <w:left w:w="100" w:type="dxa"/>
              <w:bottom w:w="100" w:type="dxa"/>
              <w:right w:w="100" w:type="dxa"/>
            </w:tcMar>
          </w:tcPr>
          <w:p w14:paraId="5B8BB06B" w14:textId="77777777" w:rsidR="00B71F87" w:rsidRPr="00B71F87" w:rsidRDefault="00B71F87" w:rsidP="00ED7805">
            <w:pPr>
              <w:widowControl w:val="0"/>
              <w:rPr>
                <w:bCs/>
                <w:color w:val="000000" w:themeColor="text1"/>
              </w:rPr>
            </w:pPr>
            <w:r w:rsidRPr="00B71F87">
              <w:rPr>
                <w:bCs/>
                <w:color w:val="000000" w:themeColor="text1"/>
              </w:rPr>
              <w:t>Conceptualización</w:t>
            </w:r>
          </w:p>
        </w:tc>
        <w:tc>
          <w:tcPr>
            <w:tcW w:w="6315" w:type="dxa"/>
            <w:shd w:val="clear" w:color="auto" w:fill="auto"/>
            <w:tcMar>
              <w:top w:w="100" w:type="dxa"/>
              <w:left w:w="100" w:type="dxa"/>
              <w:bottom w:w="100" w:type="dxa"/>
              <w:right w:w="100" w:type="dxa"/>
            </w:tcMar>
          </w:tcPr>
          <w:p w14:paraId="18FBDC74" w14:textId="77777777" w:rsidR="00B71F87" w:rsidRPr="00B71F87" w:rsidRDefault="00B71F87" w:rsidP="00ED7805">
            <w:pPr>
              <w:widowControl w:val="0"/>
              <w:rPr>
                <w:bCs/>
                <w:color w:val="000000" w:themeColor="text1"/>
              </w:rPr>
            </w:pPr>
            <w:r w:rsidRPr="00B71F87">
              <w:rPr>
                <w:bCs/>
                <w:color w:val="000000" w:themeColor="text1"/>
              </w:rPr>
              <w:t xml:space="preserve">Jordy Micheli </w:t>
            </w:r>
            <w:proofErr w:type="spellStart"/>
            <w:r w:rsidRPr="00B71F87">
              <w:rPr>
                <w:bCs/>
                <w:color w:val="000000" w:themeColor="text1"/>
              </w:rPr>
              <w:t>Thirion</w:t>
            </w:r>
            <w:proofErr w:type="spellEnd"/>
            <w:r w:rsidRPr="00B71F87">
              <w:rPr>
                <w:bCs/>
                <w:color w:val="000000" w:themeColor="text1"/>
              </w:rPr>
              <w:t xml:space="preserve"> (</w:t>
            </w:r>
            <w:proofErr w:type="gramStart"/>
            <w:r w:rsidRPr="00B71F87">
              <w:rPr>
                <w:bCs/>
                <w:color w:val="000000" w:themeColor="text1"/>
              </w:rPr>
              <w:t>igual)  ,</w:t>
            </w:r>
            <w:proofErr w:type="gramEnd"/>
            <w:r w:rsidRPr="00B71F87">
              <w:rPr>
                <w:bCs/>
                <w:color w:val="000000" w:themeColor="text1"/>
              </w:rPr>
              <w:t xml:space="preserve"> Liliana  Ramírez Villeda (igual) </w:t>
            </w:r>
          </w:p>
        </w:tc>
      </w:tr>
      <w:tr w:rsidR="00B71F87" w:rsidRPr="00B71F87" w14:paraId="771FED40" w14:textId="77777777" w:rsidTr="00B71F87">
        <w:trPr>
          <w:jc w:val="center"/>
        </w:trPr>
        <w:tc>
          <w:tcPr>
            <w:tcW w:w="3045" w:type="dxa"/>
            <w:shd w:val="clear" w:color="auto" w:fill="auto"/>
            <w:tcMar>
              <w:top w:w="100" w:type="dxa"/>
              <w:left w:w="100" w:type="dxa"/>
              <w:bottom w:w="100" w:type="dxa"/>
              <w:right w:w="100" w:type="dxa"/>
            </w:tcMar>
          </w:tcPr>
          <w:p w14:paraId="21A92190" w14:textId="77777777" w:rsidR="00B71F87" w:rsidRPr="00B71F87" w:rsidRDefault="00B71F87" w:rsidP="00ED7805">
            <w:pPr>
              <w:widowControl w:val="0"/>
              <w:rPr>
                <w:bCs/>
                <w:color w:val="000000" w:themeColor="text1"/>
              </w:rPr>
            </w:pPr>
            <w:r w:rsidRPr="00B71F87">
              <w:rPr>
                <w:bCs/>
                <w:color w:val="000000" w:themeColor="text1"/>
              </w:rPr>
              <w:t>Metodología</w:t>
            </w:r>
          </w:p>
        </w:tc>
        <w:tc>
          <w:tcPr>
            <w:tcW w:w="6315" w:type="dxa"/>
            <w:shd w:val="clear" w:color="auto" w:fill="auto"/>
            <w:tcMar>
              <w:top w:w="100" w:type="dxa"/>
              <w:left w:w="100" w:type="dxa"/>
              <w:bottom w:w="100" w:type="dxa"/>
              <w:right w:w="100" w:type="dxa"/>
            </w:tcMar>
          </w:tcPr>
          <w:p w14:paraId="70794383" w14:textId="77777777" w:rsidR="00B71F87" w:rsidRPr="00B71F87" w:rsidRDefault="00B71F87" w:rsidP="00ED7805">
            <w:pPr>
              <w:widowControl w:val="0"/>
              <w:rPr>
                <w:bCs/>
                <w:color w:val="000000" w:themeColor="text1"/>
                <w:lang w:val="en-US"/>
              </w:rPr>
            </w:pPr>
            <w:r w:rsidRPr="00B71F87">
              <w:rPr>
                <w:bCs/>
                <w:color w:val="000000" w:themeColor="text1"/>
                <w:lang w:val="en-US"/>
              </w:rPr>
              <w:t xml:space="preserve">Jordy </w:t>
            </w:r>
            <w:proofErr w:type="spellStart"/>
            <w:r w:rsidRPr="00B71F87">
              <w:rPr>
                <w:bCs/>
                <w:color w:val="000000" w:themeColor="text1"/>
                <w:lang w:val="en-US"/>
              </w:rPr>
              <w:t>Micheli</w:t>
            </w:r>
            <w:proofErr w:type="spellEnd"/>
            <w:r w:rsidRPr="00B71F87">
              <w:rPr>
                <w:bCs/>
                <w:color w:val="000000" w:themeColor="text1"/>
                <w:lang w:val="en-US"/>
              </w:rPr>
              <w:t xml:space="preserve"> </w:t>
            </w:r>
            <w:proofErr w:type="spellStart"/>
            <w:r w:rsidRPr="00B71F87">
              <w:rPr>
                <w:bCs/>
                <w:color w:val="000000" w:themeColor="text1"/>
                <w:lang w:val="en-US"/>
              </w:rPr>
              <w:t>Thirion</w:t>
            </w:r>
            <w:proofErr w:type="spellEnd"/>
            <w:r w:rsidRPr="00B71F87">
              <w:rPr>
                <w:bCs/>
                <w:color w:val="000000" w:themeColor="text1"/>
                <w:lang w:val="en-US"/>
              </w:rPr>
              <w:t xml:space="preserve"> (principal</w:t>
            </w:r>
            <w:proofErr w:type="gramStart"/>
            <w:r w:rsidRPr="00B71F87">
              <w:rPr>
                <w:bCs/>
                <w:color w:val="000000" w:themeColor="text1"/>
                <w:lang w:val="en-US"/>
              </w:rPr>
              <w:t>) ,</w:t>
            </w:r>
            <w:proofErr w:type="gramEnd"/>
            <w:r w:rsidRPr="00B71F87">
              <w:rPr>
                <w:bCs/>
                <w:color w:val="000000" w:themeColor="text1"/>
                <w:lang w:val="en-US"/>
              </w:rPr>
              <w:t xml:space="preserve"> Liliana Ramírez Villeda (</w:t>
            </w:r>
            <w:proofErr w:type="spellStart"/>
            <w:r w:rsidRPr="00B71F87">
              <w:rPr>
                <w:bCs/>
                <w:color w:val="000000" w:themeColor="text1"/>
                <w:lang w:val="en-US"/>
              </w:rPr>
              <w:t>apoya</w:t>
            </w:r>
            <w:proofErr w:type="spellEnd"/>
            <w:r w:rsidRPr="00B71F87">
              <w:rPr>
                <w:bCs/>
                <w:color w:val="000000" w:themeColor="text1"/>
                <w:lang w:val="en-US"/>
              </w:rPr>
              <w:t xml:space="preserve">)  </w:t>
            </w:r>
          </w:p>
        </w:tc>
      </w:tr>
      <w:tr w:rsidR="00B71F87" w:rsidRPr="00B71F87" w14:paraId="29DDBA1A" w14:textId="77777777" w:rsidTr="00B71F87">
        <w:trPr>
          <w:jc w:val="center"/>
        </w:trPr>
        <w:tc>
          <w:tcPr>
            <w:tcW w:w="3045" w:type="dxa"/>
            <w:shd w:val="clear" w:color="auto" w:fill="auto"/>
            <w:tcMar>
              <w:top w:w="100" w:type="dxa"/>
              <w:left w:w="100" w:type="dxa"/>
              <w:bottom w:w="100" w:type="dxa"/>
              <w:right w:w="100" w:type="dxa"/>
            </w:tcMar>
          </w:tcPr>
          <w:p w14:paraId="1EDDA969" w14:textId="77777777" w:rsidR="00B71F87" w:rsidRPr="00B71F87" w:rsidRDefault="00B71F87" w:rsidP="00ED7805">
            <w:pPr>
              <w:widowControl w:val="0"/>
              <w:rPr>
                <w:bCs/>
                <w:color w:val="000000" w:themeColor="text1"/>
              </w:rPr>
            </w:pPr>
            <w:r w:rsidRPr="00B71F87">
              <w:rPr>
                <w:bCs/>
                <w:color w:val="000000" w:themeColor="text1"/>
              </w:rPr>
              <w:t>Software</w:t>
            </w:r>
          </w:p>
        </w:tc>
        <w:tc>
          <w:tcPr>
            <w:tcW w:w="6315" w:type="dxa"/>
            <w:shd w:val="clear" w:color="auto" w:fill="auto"/>
            <w:tcMar>
              <w:top w:w="100" w:type="dxa"/>
              <w:left w:w="100" w:type="dxa"/>
              <w:bottom w:w="100" w:type="dxa"/>
              <w:right w:w="100" w:type="dxa"/>
            </w:tcMar>
          </w:tcPr>
          <w:p w14:paraId="38B8F00B" w14:textId="77777777" w:rsidR="00B71F87" w:rsidRPr="00B71F87" w:rsidRDefault="00B71F87" w:rsidP="00ED7805">
            <w:pPr>
              <w:widowControl w:val="0"/>
              <w:rPr>
                <w:bCs/>
                <w:color w:val="000000" w:themeColor="text1"/>
              </w:rPr>
            </w:pPr>
          </w:p>
        </w:tc>
      </w:tr>
      <w:tr w:rsidR="00B71F87" w:rsidRPr="00B71F87" w14:paraId="1219C690" w14:textId="77777777" w:rsidTr="00B71F87">
        <w:trPr>
          <w:jc w:val="center"/>
        </w:trPr>
        <w:tc>
          <w:tcPr>
            <w:tcW w:w="3045" w:type="dxa"/>
            <w:shd w:val="clear" w:color="auto" w:fill="auto"/>
            <w:tcMar>
              <w:top w:w="100" w:type="dxa"/>
              <w:left w:w="100" w:type="dxa"/>
              <w:bottom w:w="100" w:type="dxa"/>
              <w:right w:w="100" w:type="dxa"/>
            </w:tcMar>
          </w:tcPr>
          <w:p w14:paraId="3A3944B2" w14:textId="77777777" w:rsidR="00B71F87" w:rsidRPr="00B71F87" w:rsidRDefault="00B71F87" w:rsidP="00ED7805">
            <w:pPr>
              <w:widowControl w:val="0"/>
              <w:rPr>
                <w:bCs/>
                <w:color w:val="000000" w:themeColor="text1"/>
              </w:rPr>
            </w:pPr>
            <w:r w:rsidRPr="00B71F87">
              <w:rPr>
                <w:bCs/>
                <w:color w:val="000000" w:themeColor="text1"/>
              </w:rPr>
              <w:t>Validación</w:t>
            </w:r>
          </w:p>
        </w:tc>
        <w:tc>
          <w:tcPr>
            <w:tcW w:w="6315" w:type="dxa"/>
            <w:shd w:val="clear" w:color="auto" w:fill="auto"/>
            <w:tcMar>
              <w:top w:w="100" w:type="dxa"/>
              <w:left w:w="100" w:type="dxa"/>
              <w:bottom w:w="100" w:type="dxa"/>
              <w:right w:w="100" w:type="dxa"/>
            </w:tcMar>
          </w:tcPr>
          <w:p w14:paraId="420D44EB" w14:textId="77777777" w:rsidR="00B71F87" w:rsidRPr="00B71F87" w:rsidRDefault="00B71F87" w:rsidP="00ED7805">
            <w:pPr>
              <w:widowControl w:val="0"/>
              <w:rPr>
                <w:bCs/>
                <w:color w:val="000000" w:themeColor="text1"/>
              </w:rPr>
            </w:pPr>
          </w:p>
        </w:tc>
      </w:tr>
      <w:tr w:rsidR="00B71F87" w:rsidRPr="00B71F87" w14:paraId="219FE94F" w14:textId="77777777" w:rsidTr="00B71F87">
        <w:trPr>
          <w:jc w:val="center"/>
        </w:trPr>
        <w:tc>
          <w:tcPr>
            <w:tcW w:w="3045" w:type="dxa"/>
            <w:shd w:val="clear" w:color="auto" w:fill="auto"/>
            <w:tcMar>
              <w:top w:w="100" w:type="dxa"/>
              <w:left w:w="100" w:type="dxa"/>
              <w:bottom w:w="100" w:type="dxa"/>
              <w:right w:w="100" w:type="dxa"/>
            </w:tcMar>
          </w:tcPr>
          <w:p w14:paraId="01E337F7" w14:textId="77777777" w:rsidR="00B71F87" w:rsidRPr="00B71F87" w:rsidRDefault="00B71F87" w:rsidP="00ED7805">
            <w:pPr>
              <w:widowControl w:val="0"/>
              <w:rPr>
                <w:bCs/>
                <w:color w:val="000000" w:themeColor="text1"/>
              </w:rPr>
            </w:pPr>
            <w:r w:rsidRPr="00B71F87">
              <w:rPr>
                <w:bCs/>
                <w:color w:val="000000" w:themeColor="text1"/>
              </w:rPr>
              <w:t>Análisis Formal</w:t>
            </w:r>
          </w:p>
        </w:tc>
        <w:tc>
          <w:tcPr>
            <w:tcW w:w="6315" w:type="dxa"/>
            <w:shd w:val="clear" w:color="auto" w:fill="auto"/>
            <w:tcMar>
              <w:top w:w="100" w:type="dxa"/>
              <w:left w:w="100" w:type="dxa"/>
              <w:bottom w:w="100" w:type="dxa"/>
              <w:right w:w="100" w:type="dxa"/>
            </w:tcMar>
          </w:tcPr>
          <w:p w14:paraId="04E6B44F" w14:textId="77777777" w:rsidR="00B71F87" w:rsidRPr="00B71F87" w:rsidRDefault="00B71F87" w:rsidP="00ED7805">
            <w:pPr>
              <w:widowControl w:val="0"/>
              <w:rPr>
                <w:bCs/>
                <w:color w:val="000000" w:themeColor="text1"/>
              </w:rPr>
            </w:pPr>
            <w:r w:rsidRPr="00B71F87">
              <w:rPr>
                <w:bCs/>
                <w:color w:val="000000" w:themeColor="text1"/>
              </w:rPr>
              <w:t xml:space="preserve">Liliana Ramírez Villeda </w:t>
            </w:r>
          </w:p>
        </w:tc>
      </w:tr>
      <w:tr w:rsidR="00B71F87" w:rsidRPr="00B71F87" w14:paraId="35BF387B" w14:textId="77777777" w:rsidTr="00B71F87">
        <w:trPr>
          <w:jc w:val="center"/>
        </w:trPr>
        <w:tc>
          <w:tcPr>
            <w:tcW w:w="3045" w:type="dxa"/>
            <w:shd w:val="clear" w:color="auto" w:fill="auto"/>
            <w:tcMar>
              <w:top w:w="100" w:type="dxa"/>
              <w:left w:w="100" w:type="dxa"/>
              <w:bottom w:w="100" w:type="dxa"/>
              <w:right w:w="100" w:type="dxa"/>
            </w:tcMar>
          </w:tcPr>
          <w:p w14:paraId="0EC6456C" w14:textId="77777777" w:rsidR="00B71F87" w:rsidRPr="00B71F87" w:rsidRDefault="00B71F87" w:rsidP="00ED7805">
            <w:pPr>
              <w:widowControl w:val="0"/>
              <w:rPr>
                <w:bCs/>
                <w:color w:val="000000" w:themeColor="text1"/>
              </w:rPr>
            </w:pPr>
            <w:r w:rsidRPr="00B71F87">
              <w:rPr>
                <w:bCs/>
                <w:color w:val="000000" w:themeColor="text1"/>
              </w:rPr>
              <w:t>Investigación</w:t>
            </w:r>
          </w:p>
        </w:tc>
        <w:tc>
          <w:tcPr>
            <w:tcW w:w="6315" w:type="dxa"/>
            <w:shd w:val="clear" w:color="auto" w:fill="auto"/>
            <w:tcMar>
              <w:top w:w="100" w:type="dxa"/>
              <w:left w:w="100" w:type="dxa"/>
              <w:bottom w:w="100" w:type="dxa"/>
              <w:right w:w="100" w:type="dxa"/>
            </w:tcMar>
          </w:tcPr>
          <w:p w14:paraId="676200A2" w14:textId="77777777" w:rsidR="00B71F87" w:rsidRPr="00B71F87" w:rsidRDefault="00B71F87" w:rsidP="00ED7805">
            <w:pPr>
              <w:widowControl w:val="0"/>
              <w:rPr>
                <w:bCs/>
                <w:color w:val="000000" w:themeColor="text1"/>
              </w:rPr>
            </w:pPr>
            <w:r w:rsidRPr="00B71F87">
              <w:rPr>
                <w:bCs/>
                <w:color w:val="000000" w:themeColor="text1"/>
              </w:rPr>
              <w:t xml:space="preserve">Jordy Micheli </w:t>
            </w:r>
            <w:proofErr w:type="spellStart"/>
            <w:r w:rsidRPr="00B71F87">
              <w:rPr>
                <w:bCs/>
                <w:color w:val="000000" w:themeColor="text1"/>
              </w:rPr>
              <w:t>Thirion</w:t>
            </w:r>
            <w:proofErr w:type="spellEnd"/>
            <w:r w:rsidRPr="00B71F87">
              <w:rPr>
                <w:bCs/>
                <w:color w:val="000000" w:themeColor="text1"/>
              </w:rPr>
              <w:t xml:space="preserve"> (igual</w:t>
            </w:r>
            <w:proofErr w:type="gramStart"/>
            <w:r w:rsidRPr="00B71F87">
              <w:rPr>
                <w:bCs/>
                <w:color w:val="000000" w:themeColor="text1"/>
              </w:rPr>
              <w:t>) ,</w:t>
            </w:r>
            <w:proofErr w:type="gramEnd"/>
            <w:r w:rsidRPr="00B71F87">
              <w:rPr>
                <w:bCs/>
                <w:color w:val="000000" w:themeColor="text1"/>
              </w:rPr>
              <w:t xml:space="preserve"> Liliana  Ramírez Villeda (igual) </w:t>
            </w:r>
          </w:p>
        </w:tc>
      </w:tr>
      <w:tr w:rsidR="00B71F87" w:rsidRPr="00B71F87" w14:paraId="009ED463" w14:textId="77777777" w:rsidTr="00B71F87">
        <w:trPr>
          <w:jc w:val="center"/>
        </w:trPr>
        <w:tc>
          <w:tcPr>
            <w:tcW w:w="3045" w:type="dxa"/>
            <w:shd w:val="clear" w:color="auto" w:fill="auto"/>
            <w:tcMar>
              <w:top w:w="100" w:type="dxa"/>
              <w:left w:w="100" w:type="dxa"/>
              <w:bottom w:w="100" w:type="dxa"/>
              <w:right w:w="100" w:type="dxa"/>
            </w:tcMar>
          </w:tcPr>
          <w:p w14:paraId="03E69EF4" w14:textId="77777777" w:rsidR="00B71F87" w:rsidRPr="00B71F87" w:rsidRDefault="00B71F87" w:rsidP="00ED7805">
            <w:pPr>
              <w:widowControl w:val="0"/>
              <w:rPr>
                <w:bCs/>
                <w:color w:val="000000" w:themeColor="text1"/>
              </w:rPr>
            </w:pPr>
            <w:r w:rsidRPr="00B71F87">
              <w:rPr>
                <w:bCs/>
                <w:color w:val="000000" w:themeColor="text1"/>
              </w:rPr>
              <w:t>Recursos</w:t>
            </w:r>
          </w:p>
        </w:tc>
        <w:tc>
          <w:tcPr>
            <w:tcW w:w="6315" w:type="dxa"/>
            <w:shd w:val="clear" w:color="auto" w:fill="auto"/>
            <w:tcMar>
              <w:top w:w="100" w:type="dxa"/>
              <w:left w:w="100" w:type="dxa"/>
              <w:bottom w:w="100" w:type="dxa"/>
              <w:right w:w="100" w:type="dxa"/>
            </w:tcMar>
          </w:tcPr>
          <w:p w14:paraId="416CA911" w14:textId="77777777" w:rsidR="00B71F87" w:rsidRPr="00B71F87" w:rsidRDefault="00B71F87" w:rsidP="00ED7805">
            <w:pPr>
              <w:widowControl w:val="0"/>
              <w:rPr>
                <w:bCs/>
                <w:color w:val="000000" w:themeColor="text1"/>
              </w:rPr>
            </w:pPr>
          </w:p>
        </w:tc>
      </w:tr>
      <w:tr w:rsidR="00B71F87" w:rsidRPr="00B71F87" w14:paraId="0871877E" w14:textId="77777777" w:rsidTr="00B71F87">
        <w:trPr>
          <w:jc w:val="center"/>
        </w:trPr>
        <w:tc>
          <w:tcPr>
            <w:tcW w:w="3045" w:type="dxa"/>
            <w:shd w:val="clear" w:color="auto" w:fill="auto"/>
            <w:tcMar>
              <w:top w:w="100" w:type="dxa"/>
              <w:left w:w="100" w:type="dxa"/>
              <w:bottom w:w="100" w:type="dxa"/>
              <w:right w:w="100" w:type="dxa"/>
            </w:tcMar>
          </w:tcPr>
          <w:p w14:paraId="684679F5" w14:textId="77777777" w:rsidR="00B71F87" w:rsidRPr="00B71F87" w:rsidRDefault="00B71F87" w:rsidP="00ED7805">
            <w:pPr>
              <w:widowControl w:val="0"/>
              <w:rPr>
                <w:bCs/>
                <w:color w:val="000000" w:themeColor="text1"/>
              </w:rPr>
            </w:pPr>
            <w:r w:rsidRPr="00B71F87">
              <w:rPr>
                <w:bCs/>
                <w:color w:val="000000" w:themeColor="text1"/>
              </w:rPr>
              <w:t>Curación de datos</w:t>
            </w:r>
          </w:p>
        </w:tc>
        <w:tc>
          <w:tcPr>
            <w:tcW w:w="6315" w:type="dxa"/>
            <w:shd w:val="clear" w:color="auto" w:fill="auto"/>
            <w:tcMar>
              <w:top w:w="100" w:type="dxa"/>
              <w:left w:w="100" w:type="dxa"/>
              <w:bottom w:w="100" w:type="dxa"/>
              <w:right w:w="100" w:type="dxa"/>
            </w:tcMar>
          </w:tcPr>
          <w:p w14:paraId="72C19B59" w14:textId="77777777" w:rsidR="00B71F87" w:rsidRPr="00B71F87" w:rsidRDefault="00B71F87" w:rsidP="00ED7805">
            <w:pPr>
              <w:widowControl w:val="0"/>
              <w:rPr>
                <w:bCs/>
                <w:color w:val="000000" w:themeColor="text1"/>
              </w:rPr>
            </w:pPr>
          </w:p>
        </w:tc>
      </w:tr>
      <w:tr w:rsidR="00B71F87" w:rsidRPr="00B71F87" w14:paraId="57A6B1BF" w14:textId="77777777" w:rsidTr="00B71F87">
        <w:trPr>
          <w:jc w:val="center"/>
        </w:trPr>
        <w:tc>
          <w:tcPr>
            <w:tcW w:w="3045" w:type="dxa"/>
            <w:shd w:val="clear" w:color="auto" w:fill="auto"/>
            <w:tcMar>
              <w:top w:w="100" w:type="dxa"/>
              <w:left w:w="100" w:type="dxa"/>
              <w:bottom w:w="100" w:type="dxa"/>
              <w:right w:w="100" w:type="dxa"/>
            </w:tcMar>
          </w:tcPr>
          <w:p w14:paraId="06679E74" w14:textId="77777777" w:rsidR="00B71F87" w:rsidRPr="00B71F87" w:rsidRDefault="00B71F87" w:rsidP="00ED7805">
            <w:pPr>
              <w:widowControl w:val="0"/>
              <w:rPr>
                <w:bCs/>
                <w:color w:val="000000" w:themeColor="text1"/>
              </w:rPr>
            </w:pPr>
            <w:r w:rsidRPr="00B71F87">
              <w:rPr>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50368C06" w14:textId="77777777" w:rsidR="00B71F87" w:rsidRPr="00B71F87" w:rsidRDefault="00B71F87" w:rsidP="00ED7805">
            <w:pPr>
              <w:widowControl w:val="0"/>
              <w:rPr>
                <w:bCs/>
                <w:color w:val="000000" w:themeColor="text1"/>
              </w:rPr>
            </w:pPr>
            <w:r w:rsidRPr="00B71F87">
              <w:rPr>
                <w:bCs/>
                <w:color w:val="000000" w:themeColor="text1"/>
              </w:rPr>
              <w:t xml:space="preserve">Jordy Micheli </w:t>
            </w:r>
            <w:proofErr w:type="spellStart"/>
            <w:r w:rsidRPr="00B71F87">
              <w:rPr>
                <w:bCs/>
                <w:color w:val="000000" w:themeColor="text1"/>
              </w:rPr>
              <w:t>Thirion</w:t>
            </w:r>
            <w:proofErr w:type="spellEnd"/>
            <w:r w:rsidRPr="00B71F87">
              <w:rPr>
                <w:bCs/>
                <w:color w:val="000000" w:themeColor="text1"/>
              </w:rPr>
              <w:t xml:space="preserve"> </w:t>
            </w:r>
          </w:p>
        </w:tc>
      </w:tr>
      <w:tr w:rsidR="00B71F87" w:rsidRPr="00B71F87" w14:paraId="46E40A80" w14:textId="77777777" w:rsidTr="00B71F87">
        <w:trPr>
          <w:jc w:val="center"/>
        </w:trPr>
        <w:tc>
          <w:tcPr>
            <w:tcW w:w="3045" w:type="dxa"/>
            <w:shd w:val="clear" w:color="auto" w:fill="auto"/>
            <w:tcMar>
              <w:top w:w="100" w:type="dxa"/>
              <w:left w:w="100" w:type="dxa"/>
              <w:bottom w:w="100" w:type="dxa"/>
              <w:right w:w="100" w:type="dxa"/>
            </w:tcMar>
          </w:tcPr>
          <w:p w14:paraId="30FDD7FC" w14:textId="77777777" w:rsidR="00B71F87" w:rsidRPr="00B71F87" w:rsidRDefault="00B71F87" w:rsidP="00ED7805">
            <w:pPr>
              <w:widowControl w:val="0"/>
              <w:rPr>
                <w:bCs/>
                <w:color w:val="000000" w:themeColor="text1"/>
              </w:rPr>
            </w:pPr>
            <w:r w:rsidRPr="00B71F87">
              <w:rPr>
                <w:bCs/>
                <w:color w:val="000000" w:themeColor="text1"/>
              </w:rPr>
              <w:t>Escritura - Revisión y edición</w:t>
            </w:r>
          </w:p>
        </w:tc>
        <w:tc>
          <w:tcPr>
            <w:tcW w:w="6315" w:type="dxa"/>
            <w:shd w:val="clear" w:color="auto" w:fill="auto"/>
            <w:tcMar>
              <w:top w:w="100" w:type="dxa"/>
              <w:left w:w="100" w:type="dxa"/>
              <w:bottom w:w="100" w:type="dxa"/>
              <w:right w:w="100" w:type="dxa"/>
            </w:tcMar>
          </w:tcPr>
          <w:p w14:paraId="1553B218" w14:textId="77777777" w:rsidR="00B71F87" w:rsidRPr="00B71F87" w:rsidRDefault="00B71F87" w:rsidP="00ED7805">
            <w:pPr>
              <w:widowControl w:val="0"/>
              <w:rPr>
                <w:bCs/>
                <w:color w:val="000000" w:themeColor="text1"/>
                <w:lang w:val="en-US"/>
              </w:rPr>
            </w:pPr>
            <w:r w:rsidRPr="00B71F87">
              <w:rPr>
                <w:bCs/>
                <w:color w:val="000000" w:themeColor="text1"/>
                <w:lang w:val="en-US"/>
              </w:rPr>
              <w:t xml:space="preserve">Jordy </w:t>
            </w:r>
            <w:proofErr w:type="spellStart"/>
            <w:r w:rsidRPr="00B71F87">
              <w:rPr>
                <w:bCs/>
                <w:color w:val="000000" w:themeColor="text1"/>
                <w:lang w:val="en-US"/>
              </w:rPr>
              <w:t>Micheli</w:t>
            </w:r>
            <w:proofErr w:type="spellEnd"/>
            <w:r w:rsidRPr="00B71F87">
              <w:rPr>
                <w:bCs/>
                <w:color w:val="000000" w:themeColor="text1"/>
                <w:lang w:val="en-US"/>
              </w:rPr>
              <w:t xml:space="preserve"> </w:t>
            </w:r>
            <w:proofErr w:type="spellStart"/>
            <w:r w:rsidRPr="00B71F87">
              <w:rPr>
                <w:bCs/>
                <w:color w:val="000000" w:themeColor="text1"/>
                <w:lang w:val="en-US"/>
              </w:rPr>
              <w:t>Thirion</w:t>
            </w:r>
            <w:proofErr w:type="spellEnd"/>
            <w:r w:rsidRPr="00B71F87">
              <w:rPr>
                <w:bCs/>
                <w:color w:val="000000" w:themeColor="text1"/>
                <w:lang w:val="en-US"/>
              </w:rPr>
              <w:t xml:space="preserve"> </w:t>
            </w:r>
            <w:proofErr w:type="gramStart"/>
            <w:r w:rsidRPr="00B71F87">
              <w:rPr>
                <w:bCs/>
                <w:color w:val="000000" w:themeColor="text1"/>
                <w:lang w:val="en-US"/>
              </w:rPr>
              <w:t>( principal</w:t>
            </w:r>
            <w:proofErr w:type="gramEnd"/>
            <w:r w:rsidRPr="00B71F87">
              <w:rPr>
                <w:bCs/>
                <w:color w:val="000000" w:themeColor="text1"/>
                <w:lang w:val="en-US"/>
              </w:rPr>
              <w:t>) , Liliana Ramírez Villeda (</w:t>
            </w:r>
            <w:proofErr w:type="spellStart"/>
            <w:r w:rsidRPr="00B71F87">
              <w:rPr>
                <w:bCs/>
                <w:color w:val="000000" w:themeColor="text1"/>
                <w:lang w:val="en-US"/>
              </w:rPr>
              <w:t>apoya</w:t>
            </w:r>
            <w:proofErr w:type="spellEnd"/>
            <w:r w:rsidRPr="00B71F87">
              <w:rPr>
                <w:bCs/>
                <w:color w:val="000000" w:themeColor="text1"/>
                <w:lang w:val="en-US"/>
              </w:rPr>
              <w:t xml:space="preserve">) </w:t>
            </w:r>
          </w:p>
        </w:tc>
      </w:tr>
      <w:tr w:rsidR="00B71F87" w:rsidRPr="00B71F87" w14:paraId="11F70188" w14:textId="77777777" w:rsidTr="00B71F87">
        <w:trPr>
          <w:jc w:val="center"/>
        </w:trPr>
        <w:tc>
          <w:tcPr>
            <w:tcW w:w="3045" w:type="dxa"/>
            <w:shd w:val="clear" w:color="auto" w:fill="auto"/>
            <w:tcMar>
              <w:top w:w="100" w:type="dxa"/>
              <w:left w:w="100" w:type="dxa"/>
              <w:bottom w:w="100" w:type="dxa"/>
              <w:right w:w="100" w:type="dxa"/>
            </w:tcMar>
          </w:tcPr>
          <w:p w14:paraId="3573AACA" w14:textId="77777777" w:rsidR="00B71F87" w:rsidRPr="00B71F87" w:rsidRDefault="00B71F87" w:rsidP="00ED7805">
            <w:pPr>
              <w:widowControl w:val="0"/>
              <w:rPr>
                <w:bCs/>
                <w:color w:val="000000" w:themeColor="text1"/>
              </w:rPr>
            </w:pPr>
            <w:r w:rsidRPr="00B71F87">
              <w:rPr>
                <w:bCs/>
                <w:color w:val="000000" w:themeColor="text1"/>
              </w:rPr>
              <w:t>Visualización</w:t>
            </w:r>
          </w:p>
        </w:tc>
        <w:tc>
          <w:tcPr>
            <w:tcW w:w="6315" w:type="dxa"/>
            <w:shd w:val="clear" w:color="auto" w:fill="auto"/>
            <w:tcMar>
              <w:top w:w="100" w:type="dxa"/>
              <w:left w:w="100" w:type="dxa"/>
              <w:bottom w:w="100" w:type="dxa"/>
              <w:right w:w="100" w:type="dxa"/>
            </w:tcMar>
          </w:tcPr>
          <w:p w14:paraId="316BDC81" w14:textId="77777777" w:rsidR="00B71F87" w:rsidRPr="00B71F87" w:rsidRDefault="00B71F87" w:rsidP="00ED7805">
            <w:pPr>
              <w:widowControl w:val="0"/>
              <w:rPr>
                <w:bCs/>
                <w:color w:val="000000" w:themeColor="text1"/>
              </w:rPr>
            </w:pPr>
            <w:r w:rsidRPr="00B71F87">
              <w:rPr>
                <w:bCs/>
                <w:color w:val="000000" w:themeColor="text1"/>
              </w:rPr>
              <w:t xml:space="preserve">Jordy Micheli </w:t>
            </w:r>
            <w:proofErr w:type="spellStart"/>
            <w:r w:rsidRPr="00B71F87">
              <w:rPr>
                <w:bCs/>
                <w:color w:val="000000" w:themeColor="text1"/>
              </w:rPr>
              <w:t>Thirion</w:t>
            </w:r>
            <w:proofErr w:type="spellEnd"/>
            <w:r w:rsidRPr="00B71F87">
              <w:rPr>
                <w:bCs/>
                <w:color w:val="000000" w:themeColor="text1"/>
              </w:rPr>
              <w:t xml:space="preserve"> (igual), Liliana Ramírez Villeda (igual) </w:t>
            </w:r>
          </w:p>
        </w:tc>
      </w:tr>
      <w:tr w:rsidR="00B71F87" w:rsidRPr="00B71F87" w14:paraId="5B101CFC" w14:textId="77777777" w:rsidTr="00B71F87">
        <w:trPr>
          <w:jc w:val="center"/>
        </w:trPr>
        <w:tc>
          <w:tcPr>
            <w:tcW w:w="3045" w:type="dxa"/>
            <w:shd w:val="clear" w:color="auto" w:fill="auto"/>
            <w:tcMar>
              <w:top w:w="100" w:type="dxa"/>
              <w:left w:w="100" w:type="dxa"/>
              <w:bottom w:w="100" w:type="dxa"/>
              <w:right w:w="100" w:type="dxa"/>
            </w:tcMar>
          </w:tcPr>
          <w:p w14:paraId="4C026884" w14:textId="77777777" w:rsidR="00B71F87" w:rsidRPr="00B71F87" w:rsidRDefault="00B71F87" w:rsidP="00ED7805">
            <w:pPr>
              <w:widowControl w:val="0"/>
              <w:rPr>
                <w:bCs/>
                <w:color w:val="000000" w:themeColor="text1"/>
              </w:rPr>
            </w:pPr>
            <w:r w:rsidRPr="00B71F87">
              <w:rPr>
                <w:bCs/>
                <w:color w:val="000000" w:themeColor="text1"/>
              </w:rPr>
              <w:t>Supervisión</w:t>
            </w:r>
          </w:p>
        </w:tc>
        <w:tc>
          <w:tcPr>
            <w:tcW w:w="6315" w:type="dxa"/>
            <w:shd w:val="clear" w:color="auto" w:fill="auto"/>
            <w:tcMar>
              <w:top w:w="100" w:type="dxa"/>
              <w:left w:w="100" w:type="dxa"/>
              <w:bottom w:w="100" w:type="dxa"/>
              <w:right w:w="100" w:type="dxa"/>
            </w:tcMar>
          </w:tcPr>
          <w:p w14:paraId="13706CF1" w14:textId="77777777" w:rsidR="00B71F87" w:rsidRPr="00B71F87" w:rsidRDefault="00B71F87" w:rsidP="00ED7805">
            <w:pPr>
              <w:widowControl w:val="0"/>
              <w:rPr>
                <w:bCs/>
                <w:color w:val="000000" w:themeColor="text1"/>
              </w:rPr>
            </w:pPr>
            <w:r w:rsidRPr="00B71F87">
              <w:rPr>
                <w:bCs/>
                <w:color w:val="000000" w:themeColor="text1"/>
              </w:rPr>
              <w:t xml:space="preserve">Jordy Micheli </w:t>
            </w:r>
            <w:proofErr w:type="spellStart"/>
            <w:r w:rsidRPr="00B71F87">
              <w:rPr>
                <w:bCs/>
                <w:color w:val="000000" w:themeColor="text1"/>
              </w:rPr>
              <w:t>Thirion</w:t>
            </w:r>
            <w:proofErr w:type="spellEnd"/>
            <w:r w:rsidRPr="00B71F87">
              <w:rPr>
                <w:bCs/>
                <w:color w:val="000000" w:themeColor="text1"/>
              </w:rPr>
              <w:t xml:space="preserve"> </w:t>
            </w:r>
          </w:p>
        </w:tc>
      </w:tr>
      <w:tr w:rsidR="00B71F87" w:rsidRPr="00B71F87" w14:paraId="76EEAFEC" w14:textId="77777777" w:rsidTr="00B71F87">
        <w:trPr>
          <w:jc w:val="center"/>
        </w:trPr>
        <w:tc>
          <w:tcPr>
            <w:tcW w:w="3045" w:type="dxa"/>
            <w:shd w:val="clear" w:color="auto" w:fill="auto"/>
            <w:tcMar>
              <w:top w:w="100" w:type="dxa"/>
              <w:left w:w="100" w:type="dxa"/>
              <w:bottom w:w="100" w:type="dxa"/>
              <w:right w:w="100" w:type="dxa"/>
            </w:tcMar>
          </w:tcPr>
          <w:p w14:paraId="1434DBAC" w14:textId="77777777" w:rsidR="00B71F87" w:rsidRPr="00B71F87" w:rsidRDefault="00B71F87" w:rsidP="00ED7805">
            <w:pPr>
              <w:widowControl w:val="0"/>
              <w:rPr>
                <w:bCs/>
                <w:color w:val="000000" w:themeColor="text1"/>
              </w:rPr>
            </w:pPr>
            <w:r w:rsidRPr="00B71F87">
              <w:rPr>
                <w:bCs/>
                <w:color w:val="000000" w:themeColor="text1"/>
              </w:rPr>
              <w:t>Administración de Proyectos</w:t>
            </w:r>
          </w:p>
        </w:tc>
        <w:tc>
          <w:tcPr>
            <w:tcW w:w="6315" w:type="dxa"/>
            <w:shd w:val="clear" w:color="auto" w:fill="auto"/>
            <w:tcMar>
              <w:top w:w="100" w:type="dxa"/>
              <w:left w:w="100" w:type="dxa"/>
              <w:bottom w:w="100" w:type="dxa"/>
              <w:right w:w="100" w:type="dxa"/>
            </w:tcMar>
          </w:tcPr>
          <w:p w14:paraId="4ADC0D15" w14:textId="77777777" w:rsidR="00B71F87" w:rsidRPr="00B71F87" w:rsidRDefault="00B71F87" w:rsidP="00ED7805">
            <w:pPr>
              <w:widowControl w:val="0"/>
              <w:rPr>
                <w:bCs/>
                <w:color w:val="000000" w:themeColor="text1"/>
              </w:rPr>
            </w:pPr>
          </w:p>
        </w:tc>
      </w:tr>
      <w:tr w:rsidR="00B71F87" w:rsidRPr="00B71F87" w14:paraId="5BE0DED4" w14:textId="77777777" w:rsidTr="00B71F87">
        <w:trPr>
          <w:jc w:val="center"/>
        </w:trPr>
        <w:tc>
          <w:tcPr>
            <w:tcW w:w="3045" w:type="dxa"/>
            <w:shd w:val="clear" w:color="auto" w:fill="auto"/>
            <w:tcMar>
              <w:top w:w="100" w:type="dxa"/>
              <w:left w:w="100" w:type="dxa"/>
              <w:bottom w:w="100" w:type="dxa"/>
              <w:right w:w="100" w:type="dxa"/>
            </w:tcMar>
          </w:tcPr>
          <w:p w14:paraId="3DDFF402" w14:textId="77777777" w:rsidR="00B71F87" w:rsidRPr="00B71F87" w:rsidRDefault="00B71F87" w:rsidP="00ED7805">
            <w:pPr>
              <w:widowControl w:val="0"/>
              <w:rPr>
                <w:bCs/>
                <w:color w:val="000000" w:themeColor="text1"/>
              </w:rPr>
            </w:pPr>
            <w:r w:rsidRPr="00B71F87">
              <w:rPr>
                <w:bCs/>
                <w:color w:val="000000" w:themeColor="text1"/>
              </w:rPr>
              <w:t>Adquisición de fondos</w:t>
            </w:r>
          </w:p>
        </w:tc>
        <w:tc>
          <w:tcPr>
            <w:tcW w:w="6315" w:type="dxa"/>
            <w:shd w:val="clear" w:color="auto" w:fill="auto"/>
            <w:tcMar>
              <w:top w:w="100" w:type="dxa"/>
              <w:left w:w="100" w:type="dxa"/>
              <w:bottom w:w="100" w:type="dxa"/>
              <w:right w:w="100" w:type="dxa"/>
            </w:tcMar>
          </w:tcPr>
          <w:p w14:paraId="53A0D38E" w14:textId="77777777" w:rsidR="00B71F87" w:rsidRPr="00B71F87" w:rsidRDefault="00B71F87" w:rsidP="00ED7805">
            <w:pPr>
              <w:widowControl w:val="0"/>
              <w:rPr>
                <w:bCs/>
                <w:color w:val="000000" w:themeColor="text1"/>
              </w:rPr>
            </w:pPr>
          </w:p>
        </w:tc>
      </w:tr>
    </w:tbl>
    <w:p w14:paraId="239C34E0" w14:textId="77777777" w:rsidR="0039141E" w:rsidRDefault="0039141E">
      <w:pPr>
        <w:spacing w:line="360" w:lineRule="auto"/>
        <w:jc w:val="both"/>
        <w:rPr>
          <w:color w:val="000000"/>
          <w:lang w:val="en-US"/>
        </w:rPr>
      </w:pPr>
    </w:p>
    <w:sectPr w:rsidR="0039141E" w:rsidSect="000E2659">
      <w:headerReference w:type="default" r:id="rId10"/>
      <w:footerReference w:type="default" r:id="rId11"/>
      <w:pgSz w:w="12240" w:h="15840"/>
      <w:pgMar w:top="1134" w:right="1701"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8074" w14:textId="77777777" w:rsidR="008F3B14" w:rsidRDefault="008F3B14">
      <w:r>
        <w:separator/>
      </w:r>
    </w:p>
  </w:endnote>
  <w:endnote w:type="continuationSeparator" w:id="0">
    <w:p w14:paraId="31951B96" w14:textId="77777777" w:rsidR="008F3B14" w:rsidRDefault="008F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arajita">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46C4" w14:textId="7B1D10B5" w:rsidR="000E2659" w:rsidRDefault="000E2659">
    <w:pPr>
      <w:pStyle w:val="Piedepgina"/>
    </w:pPr>
    <w:r>
      <w:t xml:space="preserve">         </w:t>
    </w:r>
    <w:r>
      <w:rPr>
        <w:noProof/>
      </w:rPr>
      <w:drawing>
        <wp:inline distT="0" distB="0" distL="0" distR="0" wp14:anchorId="1ED8C435" wp14:editId="7CEBE0F3">
          <wp:extent cx="1600200" cy="419100"/>
          <wp:effectExtent l="0" t="0" r="0" b="0"/>
          <wp:docPr id="1830964758" name="Imagen 183096475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E2659">
      <w:rPr>
        <w:rFonts w:ascii="Calibri" w:hAnsi="Calibri" w:cs="Calibri"/>
        <w:b/>
        <w:sz w:val="22"/>
        <w:szCs w:val="22"/>
      </w:rPr>
      <w:t xml:space="preserve">Vol. 12, Núm. 24       Julio - </w:t>
    </w:r>
    <w:proofErr w:type="gramStart"/>
    <w:r w:rsidRPr="000E2659">
      <w:rPr>
        <w:rFonts w:ascii="Calibri" w:hAnsi="Calibri" w:cs="Calibri"/>
        <w:b/>
        <w:sz w:val="22"/>
        <w:szCs w:val="22"/>
      </w:rPr>
      <w:t>Diciembre</w:t>
    </w:r>
    <w:proofErr w:type="gramEnd"/>
    <w:r w:rsidRPr="000E2659">
      <w:rPr>
        <w:rFonts w:ascii="Calibri" w:hAnsi="Calibri" w:cs="Calibri"/>
        <w:b/>
        <w:sz w:val="22"/>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814D" w14:textId="77777777" w:rsidR="008F3B14" w:rsidRDefault="008F3B14">
      <w:pPr>
        <w:rPr>
          <w:sz w:val="12"/>
        </w:rPr>
      </w:pPr>
      <w:r>
        <w:separator/>
      </w:r>
    </w:p>
  </w:footnote>
  <w:footnote w:type="continuationSeparator" w:id="0">
    <w:p w14:paraId="29C5A6EF" w14:textId="77777777" w:rsidR="008F3B14" w:rsidRDefault="008F3B14">
      <w:pPr>
        <w:rPr>
          <w:sz w:val="12"/>
        </w:rPr>
      </w:pPr>
      <w:r>
        <w:continuationSeparator/>
      </w:r>
    </w:p>
  </w:footnote>
  <w:footnote w:id="1">
    <w:p w14:paraId="23594939" w14:textId="77777777" w:rsidR="0072097E" w:rsidRDefault="00000000">
      <w:pPr>
        <w:pStyle w:val="Textonotapie"/>
        <w:jc w:val="both"/>
      </w:pPr>
      <w:r>
        <w:rPr>
          <w:rStyle w:val="Caracteresdenotaalpie"/>
        </w:rPr>
        <w:footnoteRef/>
      </w:r>
      <w:r>
        <w:t xml:space="preserve"> </w:t>
      </w:r>
      <w:r>
        <w:rPr>
          <w:rStyle w:val="nfasissutil"/>
        </w:rPr>
        <w:t xml:space="preserve">La misión de la CRE es: “Regular de manera transparente, imparcial y eficiente las industrias del gas, de los refinados, derivados de hidrocarburos y de electricidad, generando certidumbre que aliente la inversión productiva, fomentando una sana competencia, propiciando una adecuada cobertura y atendiendo a la confiabilidad, calidad y seguridad en el suministro y la prestación de los servicios, a precios competitivos, en beneficio de los usuarios”, consultado 20/11/2012, </w:t>
      </w:r>
      <w:hyperlink r:id="rId1">
        <w:r>
          <w:rPr>
            <w:rStyle w:val="nfasissutil"/>
          </w:rPr>
          <w:t>http://www.cre.gob.mx/articulo.aspx?id=11</w:t>
        </w:r>
      </w:hyperlink>
      <w:r>
        <w:rPr>
          <w:rStyle w:val="nfasissutil"/>
        </w:rPr>
        <w:t>.</w:t>
      </w:r>
    </w:p>
  </w:footnote>
  <w:footnote w:id="2">
    <w:p w14:paraId="335AC50F" w14:textId="77777777" w:rsidR="0072097E" w:rsidRDefault="00000000">
      <w:pPr>
        <w:pStyle w:val="Textonotapie"/>
      </w:pPr>
      <w:r>
        <w:rPr>
          <w:rStyle w:val="Caracteresdenotaalpie"/>
        </w:rPr>
        <w:footnoteRef/>
      </w:r>
      <w:r>
        <w:t xml:space="preserve"> </w:t>
      </w:r>
      <w:r>
        <w:rPr>
          <w:rStyle w:val="nfasissutil"/>
        </w:rPr>
        <w:t xml:space="preserve">El precio al cual se paga la energía consumida está bastante alejado de los costos de su producción: “el costo de producir y refinar gasolina es el 4 % del precio de </w:t>
      </w:r>
      <w:proofErr w:type="gramStart"/>
      <w:r>
        <w:rPr>
          <w:rStyle w:val="nfasissutil"/>
        </w:rPr>
        <w:t>la misma</w:t>
      </w:r>
      <w:proofErr w:type="gramEnd"/>
      <w:r>
        <w:rPr>
          <w:rStyle w:val="nfasissutil"/>
        </w:rPr>
        <w:t>; el costo de producir gas es el 4% de su precio; el de la electricidad 40% del precio; aunque ciertamente debe agregarse el costo del transporte, que es importante en el caso del gas natural” (Chevalier, Derdevet, Geoffron,2012, pp.87-88).</w:t>
      </w:r>
    </w:p>
  </w:footnote>
  <w:footnote w:id="3">
    <w:p w14:paraId="3C469083" w14:textId="77777777" w:rsidR="0072097E" w:rsidRDefault="00000000">
      <w:pPr>
        <w:jc w:val="both"/>
        <w:rPr>
          <w:rFonts w:ascii="Aparajita" w:hAnsi="Aparajita" w:cs="Aparajita"/>
          <w:lang w:val="es-ES"/>
        </w:rPr>
      </w:pPr>
      <w:r>
        <w:rPr>
          <w:rStyle w:val="Caracteresdenotaalpie"/>
        </w:rPr>
        <w:footnoteRef/>
      </w:r>
      <w:r>
        <w:rPr>
          <w:rStyle w:val="nfasissutil"/>
          <w:rFonts w:eastAsiaTheme="minorEastAsia" w:cs="Aparajita"/>
          <w:szCs w:val="24"/>
          <w:lang w:eastAsia="en-US"/>
        </w:rPr>
        <w:t xml:space="preserve"> Definido como “la proyección de ingresos necesarios para cubrir los costos de operación, mantenimiento y ventas (costos OMAV), los impuestos, la depreciación y una rentabilidad razonable” (disposición 12.3 de la Directiva de Tarifas).</w:t>
      </w:r>
    </w:p>
  </w:footnote>
  <w:footnote w:id="4">
    <w:p w14:paraId="7A22D70A" w14:textId="77777777" w:rsidR="0072097E" w:rsidRDefault="00000000">
      <w:pPr>
        <w:pStyle w:val="Textonotapie"/>
        <w:jc w:val="both"/>
        <w:rPr>
          <w:rFonts w:ascii="Aparajita" w:hAnsi="Aparajita" w:cs="Aparajita"/>
          <w:sz w:val="24"/>
          <w:szCs w:val="24"/>
        </w:rPr>
      </w:pPr>
      <w:r>
        <w:rPr>
          <w:rStyle w:val="Caracteresdenotaalpie"/>
        </w:rPr>
        <w:footnoteRef/>
      </w:r>
      <w:r>
        <w:rPr>
          <w:rFonts w:ascii="Aparajita" w:hAnsi="Aparajita" w:cs="Aparajita"/>
          <w:sz w:val="24"/>
          <w:szCs w:val="24"/>
        </w:rPr>
        <w:t xml:space="preserve"> La Directiva de tarifas es el instrumento normativo vigente aplicable para la determinación de tarifas en materia de gas natural.</w:t>
      </w:r>
    </w:p>
  </w:footnote>
  <w:footnote w:id="5">
    <w:p w14:paraId="25A09897" w14:textId="77777777" w:rsidR="0072097E" w:rsidRDefault="00000000">
      <w:pPr>
        <w:spacing w:before="120" w:after="120"/>
        <w:jc w:val="both"/>
        <w:rPr>
          <w:rFonts w:ascii="Arial" w:hAnsi="Arial" w:cs="Arial"/>
        </w:rPr>
      </w:pPr>
      <w:r>
        <w:rPr>
          <w:rStyle w:val="Caracteresdenotaalpie"/>
        </w:rPr>
        <w:footnoteRef/>
      </w:r>
      <w:r>
        <w:t xml:space="preserve"> </w:t>
      </w:r>
      <w:r>
        <w:rPr>
          <w:rStyle w:val="nfasissutil"/>
          <w:rFonts w:eastAsiaTheme="minorEastAsia" w:cstheme="minorBidi"/>
          <w:lang w:eastAsia="en-US"/>
        </w:rPr>
        <w:t>El Gigajoule no es unidad de volumen o masa del gas, sino de su poder calorífico. Sin embargo, los aparatos de medición de los usuarios están calibrados en unidades de volumen. El resultado práctico es que el usuario carece de información directa para reconocer si el cobro que hace la empresa corresponde a la tarifa autorizada y le corresponde hacer la operación respectiva con el dato del poder calorífico que estipula la factura.</w:t>
      </w:r>
      <w:r>
        <w:rPr>
          <w:rFonts w:ascii="Arial" w:hAnsi="Arial" w:cs="Arial"/>
        </w:rPr>
        <w:t xml:space="preserve"> </w:t>
      </w:r>
    </w:p>
    <w:p w14:paraId="1D0A995F" w14:textId="77777777" w:rsidR="0072097E" w:rsidRDefault="0072097E">
      <w:pPr>
        <w:pStyle w:val="Textonotapie"/>
      </w:pPr>
    </w:p>
  </w:footnote>
  <w:footnote w:id="6">
    <w:p w14:paraId="3AAA940C" w14:textId="77777777" w:rsidR="0072097E" w:rsidRDefault="00000000">
      <w:pPr>
        <w:pStyle w:val="Textosinformato"/>
        <w:jc w:val="both"/>
        <w:rPr>
          <w:rFonts w:ascii="Courier New" w:hAnsi="Courier New" w:cs="Courier New"/>
        </w:rPr>
      </w:pPr>
      <w:r>
        <w:rPr>
          <w:rStyle w:val="Caracteresdenotaalpie"/>
        </w:rPr>
        <w:footnoteRef/>
      </w:r>
      <w:r>
        <w:rPr>
          <w:rFonts w:ascii="Aparajita" w:hAnsi="Aparajita" w:cs="Aparajita"/>
          <w:sz w:val="24"/>
          <w:szCs w:val="24"/>
        </w:rPr>
        <w:t xml:space="preserve"> Un </w:t>
      </w:r>
      <w:r>
        <w:rPr>
          <w:rFonts w:ascii="Aparajita" w:hAnsi="Aparajita" w:cs="Aparajita"/>
          <w:i/>
          <w:sz w:val="24"/>
          <w:szCs w:val="24"/>
        </w:rPr>
        <w:t>solver</w:t>
      </w:r>
      <w:r>
        <w:rPr>
          <w:rFonts w:ascii="Aparajita" w:hAnsi="Aparajita" w:cs="Aparajita"/>
          <w:sz w:val="24"/>
          <w:szCs w:val="24"/>
        </w:rPr>
        <w:t xml:space="preserve"> es una herramienta que hace funciones de hoja de cálculo para optimización y que viene empaquetada en el Excel de Microsoft, siendo empleada en diversos campos profesionales en que se requieren herramientas de modelación (Fylstra, Lasdon, Watson and Waren, 1998; Londoño y Boada, 2017).</w:t>
      </w:r>
    </w:p>
    <w:p w14:paraId="3CFE7597" w14:textId="77777777" w:rsidR="0072097E" w:rsidRDefault="0072097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DFC9" w14:textId="61980E7D" w:rsidR="000E2659" w:rsidRDefault="000E2659" w:rsidP="000E2659">
    <w:pPr>
      <w:pStyle w:val="Encabezado"/>
      <w:jc w:val="center"/>
    </w:pPr>
    <w:r w:rsidRPr="00201BB5">
      <w:rPr>
        <w:noProof/>
      </w:rPr>
      <w:drawing>
        <wp:inline distT="0" distB="0" distL="0" distR="0" wp14:anchorId="2170C4A7" wp14:editId="7E34FC14">
          <wp:extent cx="5577840" cy="652578"/>
          <wp:effectExtent l="0" t="0" r="3810" b="0"/>
          <wp:docPr id="107239298" name="Imagen 10723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629"/>
    <w:multiLevelType w:val="multilevel"/>
    <w:tmpl w:val="6D34BC3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1" w15:restartNumberingAfterBreak="0">
    <w:nsid w:val="46A72C2D"/>
    <w:multiLevelType w:val="multilevel"/>
    <w:tmpl w:val="E8988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7035975">
    <w:abstractNumId w:val="0"/>
  </w:num>
  <w:num w:numId="2" w16cid:durableId="213683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7E"/>
    <w:rsid w:val="000E2659"/>
    <w:rsid w:val="000F30B6"/>
    <w:rsid w:val="00123D53"/>
    <w:rsid w:val="002630C0"/>
    <w:rsid w:val="0029582F"/>
    <w:rsid w:val="002D22C8"/>
    <w:rsid w:val="0039141E"/>
    <w:rsid w:val="004917F9"/>
    <w:rsid w:val="005162F3"/>
    <w:rsid w:val="005240E6"/>
    <w:rsid w:val="0060369E"/>
    <w:rsid w:val="0072097E"/>
    <w:rsid w:val="00747203"/>
    <w:rsid w:val="008B4AAC"/>
    <w:rsid w:val="008F3B14"/>
    <w:rsid w:val="00A57BFD"/>
    <w:rsid w:val="00AF0C04"/>
    <w:rsid w:val="00B71F87"/>
    <w:rsid w:val="00B84C30"/>
    <w:rsid w:val="00DB60C1"/>
    <w:rsid w:val="00DD03E8"/>
    <w:rsid w:val="00F353F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C56B"/>
  <w15:docId w15:val="{66C35367-F71E-48FF-9815-C029A0B8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D0"/>
    <w:rPr>
      <w:rFonts w:ascii="Times New Roman" w:eastAsia="Times New Roman" w:hAnsi="Times New Roman" w:cs="Times New Roman"/>
      <w:sz w:val="24"/>
      <w:szCs w:val="24"/>
      <w:lang w:eastAsia="es-MX"/>
    </w:rPr>
  </w:style>
  <w:style w:type="paragraph" w:styleId="Ttulo3">
    <w:name w:val="heading 3"/>
    <w:basedOn w:val="Normal"/>
    <w:next w:val="Normal"/>
    <w:link w:val="Ttulo3Car"/>
    <w:rsid w:val="00B71F87"/>
    <w:pPr>
      <w:pBdr>
        <w:top w:val="nil"/>
        <w:left w:val="nil"/>
        <w:bottom w:val="nil"/>
        <w:right w:val="nil"/>
        <w:between w:val="nil"/>
      </w:pBdr>
      <w:suppressAutoHyphens w:val="0"/>
      <w:spacing w:before="200" w:line="360" w:lineRule="auto"/>
      <w:ind w:left="-15"/>
      <w:outlineLvl w:val="2"/>
    </w:pPr>
    <w:rPr>
      <w:rFonts w:ascii="Open Sans" w:eastAsia="Open Sans" w:hAnsi="Open Sans" w:cs="Open Sans"/>
      <w:b/>
      <w:color w:val="8C725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qFormat/>
    <w:rsid w:val="00BE7A50"/>
    <w:rPr>
      <w:sz w:val="20"/>
      <w:szCs w:val="20"/>
    </w:rPr>
  </w:style>
  <w:style w:type="character" w:customStyle="1" w:styleId="Caracteresdenotaalpie">
    <w:name w:val="Caracteres de nota al pie"/>
    <w:basedOn w:val="Fuentedeprrafopredeter"/>
    <w:unhideWhenUsed/>
    <w:qFormat/>
    <w:rsid w:val="00BE7A50"/>
    <w:rPr>
      <w:vertAlign w:val="superscript"/>
    </w:rPr>
  </w:style>
  <w:style w:type="character" w:styleId="Refdenotaalpie">
    <w:name w:val="footnote reference"/>
    <w:rPr>
      <w:vertAlign w:val="superscript"/>
    </w:rPr>
  </w:style>
  <w:style w:type="character" w:styleId="Textodelmarcadordeposicin">
    <w:name w:val="Placeholder Text"/>
    <w:basedOn w:val="Fuentedeprrafopredeter"/>
    <w:uiPriority w:val="99"/>
    <w:semiHidden/>
    <w:qFormat/>
    <w:rsid w:val="00660D50"/>
    <w:rPr>
      <w:color w:val="808080"/>
    </w:rPr>
  </w:style>
  <w:style w:type="character" w:styleId="nfasissutil">
    <w:name w:val="Subtle Emphasis"/>
    <w:basedOn w:val="TextonotapieCar"/>
    <w:uiPriority w:val="19"/>
    <w:qFormat/>
    <w:rsid w:val="0000798F"/>
    <w:rPr>
      <w:rFonts w:ascii="Aparajita" w:hAnsi="Aparajita"/>
      <w:b w:val="0"/>
      <w:i w:val="0"/>
      <w:iCs/>
      <w:color w:val="auto"/>
      <w:sz w:val="24"/>
      <w:szCs w:val="20"/>
    </w:rPr>
  </w:style>
  <w:style w:type="character" w:styleId="Hipervnculo">
    <w:name w:val="Hyperlink"/>
    <w:basedOn w:val="Fuentedeprrafopredeter"/>
    <w:uiPriority w:val="99"/>
    <w:unhideWhenUsed/>
    <w:rsid w:val="00E90E39"/>
    <w:rPr>
      <w:color w:val="0563C1" w:themeColor="hyperlink"/>
      <w:u w:val="single"/>
    </w:rPr>
  </w:style>
  <w:style w:type="character" w:styleId="Hipervnculovisitado">
    <w:name w:val="FollowedHyperlink"/>
    <w:basedOn w:val="Fuentedeprrafopredeter"/>
    <w:uiPriority w:val="99"/>
    <w:semiHidden/>
    <w:unhideWhenUsed/>
    <w:rsid w:val="00E90E39"/>
    <w:rPr>
      <w:color w:val="954F72" w:themeColor="followedHyperlink"/>
      <w:u w:val="single"/>
    </w:rPr>
  </w:style>
  <w:style w:type="character" w:customStyle="1" w:styleId="Mencinsinresolver1">
    <w:name w:val="Mención sin resolver1"/>
    <w:basedOn w:val="Fuentedeprrafopredeter"/>
    <w:uiPriority w:val="99"/>
    <w:semiHidden/>
    <w:unhideWhenUsed/>
    <w:qFormat/>
    <w:rsid w:val="00330915"/>
    <w:rPr>
      <w:color w:val="605E5C"/>
      <w:shd w:val="clear" w:color="auto" w:fill="E1DFDD"/>
    </w:rPr>
  </w:style>
  <w:style w:type="character" w:customStyle="1" w:styleId="TextonotaalfinalCar">
    <w:name w:val="Texto nota al final Car"/>
    <w:basedOn w:val="Fuentedeprrafopredeter"/>
    <w:link w:val="Textonotaalfinal"/>
    <w:uiPriority w:val="99"/>
    <w:semiHidden/>
    <w:qFormat/>
    <w:rsid w:val="00311717"/>
    <w:rPr>
      <w:rFonts w:ascii="Times New Roman" w:eastAsia="Times New Roman" w:hAnsi="Times New Roman" w:cs="Times New Roman"/>
      <w:sz w:val="20"/>
      <w:szCs w:val="20"/>
      <w:lang w:eastAsia="es-MX"/>
    </w:rPr>
  </w:style>
  <w:style w:type="character" w:customStyle="1" w:styleId="Caracteresdenotafinal">
    <w:name w:val="Caracteres de nota final"/>
    <w:basedOn w:val="Fuentedeprrafopredeter"/>
    <w:uiPriority w:val="99"/>
    <w:semiHidden/>
    <w:unhideWhenUsed/>
    <w:qFormat/>
    <w:rsid w:val="00311717"/>
    <w:rPr>
      <w:vertAlign w:val="superscript"/>
    </w:rPr>
  </w:style>
  <w:style w:type="character" w:styleId="Refdenotaalfinal">
    <w:name w:val="endnote reference"/>
    <w:rPr>
      <w:vertAlign w:val="superscript"/>
    </w:rPr>
  </w:style>
  <w:style w:type="character" w:styleId="Refdecomentario">
    <w:name w:val="annotation reference"/>
    <w:basedOn w:val="Fuentedeprrafopredeter"/>
    <w:uiPriority w:val="99"/>
    <w:semiHidden/>
    <w:unhideWhenUsed/>
    <w:qFormat/>
    <w:rsid w:val="00853C4D"/>
    <w:rPr>
      <w:sz w:val="16"/>
      <w:szCs w:val="16"/>
    </w:rPr>
  </w:style>
  <w:style w:type="character" w:customStyle="1" w:styleId="TextocomentarioCar">
    <w:name w:val="Texto comentario Car"/>
    <w:basedOn w:val="Fuentedeprrafopredeter"/>
    <w:link w:val="Textocomentario"/>
    <w:uiPriority w:val="99"/>
    <w:qFormat/>
    <w:rsid w:val="00853C4D"/>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semiHidden/>
    <w:qFormat/>
    <w:rsid w:val="00853C4D"/>
    <w:rPr>
      <w:rFonts w:ascii="Times New Roman" w:eastAsia="Times New Roman" w:hAnsi="Times New Roman" w:cs="Times New Roman"/>
      <w:b/>
      <w:bCs/>
      <w:sz w:val="20"/>
      <w:szCs w:val="20"/>
      <w:lang w:eastAsia="es-MX"/>
    </w:rPr>
  </w:style>
  <w:style w:type="character" w:customStyle="1" w:styleId="EncabezadoCar">
    <w:name w:val="Encabezado Car"/>
    <w:basedOn w:val="Fuentedeprrafopredeter"/>
    <w:link w:val="Encabezado"/>
    <w:uiPriority w:val="99"/>
    <w:qFormat/>
    <w:rsid w:val="00E60A5C"/>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sid w:val="00E60A5C"/>
    <w:rPr>
      <w:rFonts w:ascii="Times New Roman" w:eastAsia="Times New Roman" w:hAnsi="Times New Roman" w:cs="Times New Roman"/>
      <w:sz w:val="24"/>
      <w:szCs w:val="24"/>
      <w:lang w:eastAsia="es-MX"/>
    </w:rPr>
  </w:style>
  <w:style w:type="character" w:customStyle="1" w:styleId="TextodegloboCar">
    <w:name w:val="Texto de globo Car"/>
    <w:basedOn w:val="Fuentedeprrafopredeter"/>
    <w:link w:val="Textodeglobo"/>
    <w:uiPriority w:val="99"/>
    <w:semiHidden/>
    <w:qFormat/>
    <w:rsid w:val="00F17EF8"/>
    <w:rPr>
      <w:rFonts w:ascii="Tahoma" w:eastAsia="Times New Roman" w:hAnsi="Tahoma" w:cs="Tahoma"/>
      <w:sz w:val="16"/>
      <w:szCs w:val="16"/>
      <w:lang w:eastAsia="es-MX"/>
    </w:rPr>
  </w:style>
  <w:style w:type="character" w:customStyle="1" w:styleId="TextosinformatoCar">
    <w:name w:val="Texto sin formato Car"/>
    <w:basedOn w:val="Fuentedeprrafopredeter"/>
    <w:link w:val="Textosinformato"/>
    <w:uiPriority w:val="99"/>
    <w:qFormat/>
    <w:rsid w:val="00622E32"/>
    <w:rPr>
      <w:rFonts w:ascii="Consolas" w:hAnsi="Consolas"/>
      <w:sz w:val="21"/>
      <w:szCs w:val="21"/>
    </w:rPr>
  </w:style>
  <w:style w:type="character" w:styleId="Mencinsinresolver">
    <w:name w:val="Unresolved Mention"/>
    <w:basedOn w:val="Fuentedeprrafopredeter"/>
    <w:uiPriority w:val="99"/>
    <w:semiHidden/>
    <w:unhideWhenUsed/>
    <w:qFormat/>
    <w:rsid w:val="00252574"/>
    <w:rPr>
      <w:color w:val="605E5C"/>
      <w:shd w:val="clear" w:color="auto" w:fill="E1DFDD"/>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316D1F"/>
    <w:pPr>
      <w:spacing w:after="160" w:line="259" w:lineRule="auto"/>
      <w:ind w:left="720"/>
      <w:contextualSpacing/>
    </w:pPr>
    <w:rPr>
      <w:rFonts w:asciiTheme="minorHAnsi" w:eastAsiaTheme="minorEastAsia" w:hAnsiTheme="minorHAnsi" w:cstheme="minorBidi"/>
      <w:sz w:val="22"/>
      <w:szCs w:val="22"/>
      <w:lang w:eastAsia="en-US"/>
    </w:rPr>
  </w:style>
  <w:style w:type="paragraph" w:styleId="Textonotapie">
    <w:name w:val="footnote text"/>
    <w:basedOn w:val="Normal"/>
    <w:link w:val="TextonotapieCar"/>
    <w:unhideWhenUsed/>
    <w:rsid w:val="00BE7A50"/>
    <w:rPr>
      <w:rFonts w:asciiTheme="minorHAnsi" w:eastAsiaTheme="minorEastAsia" w:hAnsiTheme="minorHAnsi" w:cstheme="minorBidi"/>
      <w:sz w:val="20"/>
      <w:szCs w:val="20"/>
      <w:lang w:eastAsia="en-US"/>
    </w:rPr>
  </w:style>
  <w:style w:type="paragraph" w:styleId="Textonotaalfinal">
    <w:name w:val="endnote text"/>
    <w:basedOn w:val="Normal"/>
    <w:link w:val="TextonotaalfinalCar"/>
    <w:uiPriority w:val="99"/>
    <w:semiHidden/>
    <w:unhideWhenUsed/>
    <w:rsid w:val="00311717"/>
    <w:rPr>
      <w:sz w:val="20"/>
      <w:szCs w:val="20"/>
    </w:rPr>
  </w:style>
  <w:style w:type="paragraph" w:styleId="Revisin">
    <w:name w:val="Revision"/>
    <w:uiPriority w:val="99"/>
    <w:semiHidden/>
    <w:qFormat/>
    <w:rsid w:val="002A4812"/>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unhideWhenUsed/>
    <w:qFormat/>
    <w:rsid w:val="00853C4D"/>
    <w:rPr>
      <w:sz w:val="20"/>
      <w:szCs w:val="20"/>
    </w:rPr>
  </w:style>
  <w:style w:type="paragraph" w:styleId="Asuntodelcomentario">
    <w:name w:val="annotation subject"/>
    <w:basedOn w:val="Textocomentario"/>
    <w:next w:val="Textocomentario"/>
    <w:link w:val="AsuntodelcomentarioCar"/>
    <w:uiPriority w:val="99"/>
    <w:semiHidden/>
    <w:unhideWhenUsed/>
    <w:qFormat/>
    <w:rsid w:val="00853C4D"/>
    <w:rPr>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E60A5C"/>
    <w:pPr>
      <w:tabs>
        <w:tab w:val="center" w:pos="4419"/>
        <w:tab w:val="right" w:pos="8838"/>
      </w:tabs>
    </w:pPr>
  </w:style>
  <w:style w:type="paragraph" w:styleId="Piedepgina">
    <w:name w:val="footer"/>
    <w:basedOn w:val="Normal"/>
    <w:link w:val="PiedepginaCar"/>
    <w:uiPriority w:val="99"/>
    <w:unhideWhenUsed/>
    <w:rsid w:val="00E60A5C"/>
    <w:pPr>
      <w:tabs>
        <w:tab w:val="center" w:pos="4419"/>
        <w:tab w:val="right" w:pos="8838"/>
      </w:tabs>
    </w:pPr>
  </w:style>
  <w:style w:type="paragraph" w:customStyle="1" w:styleId="Default">
    <w:name w:val="Default"/>
    <w:qFormat/>
    <w:rsid w:val="008E31BD"/>
    <w:rPr>
      <w:rFonts w:ascii="Times New Roman" w:eastAsia="Calibri" w:hAnsi="Times New Roman" w:cs="Times New Roman"/>
      <w:color w:val="000000"/>
      <w:sz w:val="24"/>
      <w:szCs w:val="24"/>
    </w:rPr>
  </w:style>
  <w:style w:type="paragraph" w:styleId="Textodeglobo">
    <w:name w:val="Balloon Text"/>
    <w:basedOn w:val="Normal"/>
    <w:link w:val="TextodegloboCar"/>
    <w:uiPriority w:val="99"/>
    <w:semiHidden/>
    <w:unhideWhenUsed/>
    <w:qFormat/>
    <w:rsid w:val="00F17EF8"/>
    <w:rPr>
      <w:rFonts w:ascii="Tahoma" w:hAnsi="Tahoma" w:cs="Tahoma"/>
      <w:sz w:val="16"/>
      <w:szCs w:val="16"/>
    </w:rPr>
  </w:style>
  <w:style w:type="paragraph" w:styleId="Textosinformato">
    <w:name w:val="Plain Text"/>
    <w:basedOn w:val="Normal"/>
    <w:link w:val="TextosinformatoCar"/>
    <w:uiPriority w:val="99"/>
    <w:unhideWhenUsed/>
    <w:qFormat/>
    <w:rsid w:val="00622E32"/>
    <w:rPr>
      <w:rFonts w:ascii="Consolas" w:eastAsiaTheme="minorHAnsi" w:hAnsi="Consolas" w:cstheme="minorBidi"/>
      <w:sz w:val="21"/>
      <w:szCs w:val="21"/>
      <w:lang w:eastAsia="en-US"/>
    </w:rPr>
  </w:style>
  <w:style w:type="table" w:styleId="Tablaconcuadrcula">
    <w:name w:val="Table Grid"/>
    <w:basedOn w:val="Tablanormal"/>
    <w:uiPriority w:val="39"/>
    <w:rsid w:val="00D1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B71F87"/>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cre.gob.mx/articulo.aspx?id=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D44-1B98-432E-9883-4B4CCAC9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31</Pages>
  <Words>9239</Words>
  <Characters>50818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Ramirez Villeda</dc:creator>
  <dc:description/>
  <cp:lastModifiedBy>Gustavo Toledo</cp:lastModifiedBy>
  <cp:revision>21</cp:revision>
  <cp:lastPrinted>2023-02-09T17:42:00Z</cp:lastPrinted>
  <dcterms:created xsi:type="dcterms:W3CDTF">2023-06-30T02:44:00Z</dcterms:created>
  <dcterms:modified xsi:type="dcterms:W3CDTF">2023-07-20T01:30:00Z</dcterms:modified>
  <dc:language>es-MX</dc:language>
</cp:coreProperties>
</file>