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39274817"/>
        <w:docPartObj>
          <w:docPartGallery w:val="Cover Pages"/>
          <w:docPartUnique/>
        </w:docPartObj>
      </w:sdtPr>
      <w:sdtEndPr/>
      <w:sdtContent>
        <w:p w14:paraId="30B098BA" w14:textId="1A832996" w:rsidR="002F7B6C" w:rsidRPr="003B5262" w:rsidRDefault="003B5262" w:rsidP="002F7B6C">
          <w:pPr>
            <w:spacing w:before="240"/>
            <w:jc w:val="right"/>
            <w:rPr>
              <w:b/>
              <w:i/>
              <w:szCs w:val="20"/>
            </w:rPr>
          </w:pPr>
          <w:r w:rsidRPr="003B5262">
            <w:rPr>
              <w:b/>
              <w:i/>
              <w:szCs w:val="20"/>
            </w:rPr>
            <w:t>https://doi.org/10.23913/ricea.v8i16.139</w:t>
          </w:r>
        </w:p>
        <w:p w14:paraId="01DFD86D" w14:textId="77777777" w:rsidR="002F7B6C" w:rsidRDefault="002F7B6C" w:rsidP="002F7B6C">
          <w:pPr>
            <w:spacing w:before="240"/>
            <w:jc w:val="right"/>
          </w:pPr>
          <w:r w:rsidRPr="00705411">
            <w:rPr>
              <w:b/>
              <w:i/>
              <w:szCs w:val="20"/>
            </w:rPr>
            <w:t>Artículos Científicos</w:t>
          </w:r>
        </w:p>
        <w:p w14:paraId="037E75F3" w14:textId="77777777" w:rsidR="00E237D2" w:rsidRPr="002F7B6C" w:rsidRDefault="00E237D2" w:rsidP="00D35C7B">
          <w:pPr>
            <w:spacing w:before="240" w:line="276" w:lineRule="auto"/>
            <w:jc w:val="right"/>
            <w:rPr>
              <w:rFonts w:ascii="Calibri" w:eastAsia="Times New Roman" w:hAnsi="Calibri" w:cs="Calibri"/>
              <w:b/>
              <w:bCs/>
              <w:color w:val="000000"/>
              <w:sz w:val="36"/>
              <w:szCs w:val="36"/>
              <w:lang w:eastAsia="es-MX"/>
            </w:rPr>
          </w:pPr>
          <w:r w:rsidRPr="002F7B6C">
            <w:rPr>
              <w:rFonts w:ascii="Calibri" w:eastAsia="Times New Roman" w:hAnsi="Calibri" w:cs="Calibri"/>
              <w:b/>
              <w:bCs/>
              <w:color w:val="000000"/>
              <w:sz w:val="36"/>
              <w:szCs w:val="36"/>
              <w:lang w:eastAsia="es-MX"/>
            </w:rPr>
            <w:t>Análisis correlacional del bienest</w:t>
          </w:r>
          <w:r w:rsidR="00707273" w:rsidRPr="002F7B6C">
            <w:rPr>
              <w:rFonts w:ascii="Calibri" w:eastAsia="Times New Roman" w:hAnsi="Calibri" w:cs="Calibri"/>
              <w:b/>
              <w:bCs/>
              <w:color w:val="000000"/>
              <w:sz w:val="36"/>
              <w:szCs w:val="36"/>
              <w:lang w:eastAsia="es-MX"/>
            </w:rPr>
            <w:t xml:space="preserve">ar psicológico en el trabajo, </w:t>
          </w:r>
          <w:r w:rsidRPr="002F7B6C">
            <w:rPr>
              <w:rFonts w:ascii="Calibri" w:eastAsia="Times New Roman" w:hAnsi="Calibri" w:cs="Calibri"/>
              <w:b/>
              <w:bCs/>
              <w:color w:val="000000"/>
              <w:sz w:val="36"/>
              <w:szCs w:val="36"/>
              <w:lang w:eastAsia="es-MX"/>
            </w:rPr>
            <w:t>liderazgo tran</w:t>
          </w:r>
          <w:r w:rsidR="00707273" w:rsidRPr="002F7B6C">
            <w:rPr>
              <w:rFonts w:ascii="Calibri" w:eastAsia="Times New Roman" w:hAnsi="Calibri" w:cs="Calibri"/>
              <w:b/>
              <w:bCs/>
              <w:color w:val="000000"/>
              <w:sz w:val="36"/>
              <w:szCs w:val="36"/>
              <w:lang w:eastAsia="es-MX"/>
            </w:rPr>
            <w:t xml:space="preserve">sformacional y confianza en el líder: </w:t>
          </w:r>
          <w:r w:rsidR="00347509" w:rsidRPr="002F7B6C">
            <w:rPr>
              <w:rFonts w:ascii="Calibri" w:eastAsia="Times New Roman" w:hAnsi="Calibri" w:cs="Calibri"/>
              <w:b/>
              <w:bCs/>
              <w:color w:val="000000"/>
              <w:sz w:val="36"/>
              <w:szCs w:val="36"/>
              <w:lang w:eastAsia="es-MX"/>
            </w:rPr>
            <w:t>c</w:t>
          </w:r>
          <w:r w:rsidR="00707273" w:rsidRPr="002F7B6C">
            <w:rPr>
              <w:rFonts w:ascii="Calibri" w:eastAsia="Times New Roman" w:hAnsi="Calibri" w:cs="Calibri"/>
              <w:b/>
              <w:bCs/>
              <w:color w:val="000000"/>
              <w:sz w:val="36"/>
              <w:szCs w:val="36"/>
              <w:lang w:eastAsia="es-MX"/>
            </w:rPr>
            <w:t xml:space="preserve">aso de una </w:t>
          </w:r>
          <w:proofErr w:type="spellStart"/>
          <w:r w:rsidR="00347509" w:rsidRPr="002F7B6C">
            <w:rPr>
              <w:rFonts w:ascii="Calibri" w:eastAsia="Times New Roman" w:hAnsi="Calibri" w:cs="Calibri"/>
              <w:b/>
              <w:bCs/>
              <w:color w:val="000000"/>
              <w:sz w:val="36"/>
              <w:szCs w:val="36"/>
              <w:lang w:eastAsia="es-MX"/>
            </w:rPr>
            <w:t>mype</w:t>
          </w:r>
          <w:proofErr w:type="spellEnd"/>
          <w:r w:rsidR="00707273" w:rsidRPr="002F7B6C">
            <w:rPr>
              <w:rFonts w:ascii="Calibri" w:eastAsia="Times New Roman" w:hAnsi="Calibri" w:cs="Calibri"/>
              <w:b/>
              <w:bCs/>
              <w:color w:val="000000"/>
              <w:sz w:val="36"/>
              <w:szCs w:val="36"/>
              <w:lang w:eastAsia="es-MX"/>
            </w:rPr>
            <w:t xml:space="preserve"> industria</w:t>
          </w:r>
          <w:r w:rsidR="00347509" w:rsidRPr="002F7B6C">
            <w:rPr>
              <w:rFonts w:ascii="Calibri" w:eastAsia="Times New Roman" w:hAnsi="Calibri" w:cs="Calibri"/>
              <w:b/>
              <w:bCs/>
              <w:color w:val="000000"/>
              <w:sz w:val="36"/>
              <w:szCs w:val="36"/>
              <w:lang w:eastAsia="es-MX"/>
            </w:rPr>
            <w:t>l</w:t>
          </w:r>
          <w:r w:rsidRPr="002F7B6C">
            <w:rPr>
              <w:rFonts w:ascii="Calibri" w:eastAsia="Times New Roman" w:hAnsi="Calibri" w:cs="Calibri"/>
              <w:b/>
              <w:bCs/>
              <w:color w:val="000000"/>
              <w:sz w:val="36"/>
              <w:szCs w:val="36"/>
              <w:lang w:eastAsia="es-MX"/>
            </w:rPr>
            <w:t xml:space="preserve"> </w:t>
          </w:r>
        </w:p>
        <w:p w14:paraId="257FAAC9" w14:textId="77777777" w:rsidR="00707273" w:rsidRPr="002F7B6C" w:rsidRDefault="00707273" w:rsidP="00D35C7B">
          <w:pPr>
            <w:spacing w:before="240" w:line="276" w:lineRule="auto"/>
            <w:jc w:val="right"/>
            <w:rPr>
              <w:rFonts w:ascii="Calibri" w:eastAsia="Times New Roman" w:hAnsi="Calibri" w:cs="Calibri"/>
              <w:b/>
              <w:bCs/>
              <w:i/>
              <w:color w:val="000000"/>
              <w:sz w:val="28"/>
              <w:szCs w:val="36"/>
              <w:lang w:eastAsia="es-MX"/>
            </w:rPr>
          </w:pPr>
          <w:proofErr w:type="spellStart"/>
          <w:r w:rsidRPr="002F7B6C">
            <w:rPr>
              <w:rFonts w:ascii="Calibri" w:eastAsia="Times New Roman" w:hAnsi="Calibri" w:cs="Calibri"/>
              <w:b/>
              <w:bCs/>
              <w:i/>
              <w:color w:val="000000"/>
              <w:sz w:val="28"/>
              <w:szCs w:val="36"/>
              <w:lang w:eastAsia="es-MX"/>
            </w:rPr>
            <w:t>Correlational</w:t>
          </w:r>
          <w:proofErr w:type="spellEnd"/>
          <w:r w:rsidRPr="002F7B6C">
            <w:rPr>
              <w:rFonts w:ascii="Calibri" w:eastAsia="Times New Roman" w:hAnsi="Calibri" w:cs="Calibri"/>
              <w:b/>
              <w:bCs/>
              <w:i/>
              <w:color w:val="000000"/>
              <w:sz w:val="28"/>
              <w:szCs w:val="36"/>
              <w:lang w:eastAsia="es-MX"/>
            </w:rPr>
            <w:t xml:space="preserve"> </w:t>
          </w:r>
          <w:proofErr w:type="spellStart"/>
          <w:r w:rsidRPr="002F7B6C">
            <w:rPr>
              <w:rFonts w:ascii="Calibri" w:eastAsia="Times New Roman" w:hAnsi="Calibri" w:cs="Calibri"/>
              <w:b/>
              <w:bCs/>
              <w:i/>
              <w:color w:val="000000"/>
              <w:sz w:val="28"/>
              <w:szCs w:val="36"/>
              <w:lang w:eastAsia="es-MX"/>
            </w:rPr>
            <w:t>analysis</w:t>
          </w:r>
          <w:proofErr w:type="spellEnd"/>
          <w:r w:rsidRPr="002F7B6C">
            <w:rPr>
              <w:rFonts w:ascii="Calibri" w:eastAsia="Times New Roman" w:hAnsi="Calibri" w:cs="Calibri"/>
              <w:b/>
              <w:bCs/>
              <w:i/>
              <w:color w:val="000000"/>
              <w:sz w:val="28"/>
              <w:szCs w:val="36"/>
              <w:lang w:eastAsia="es-MX"/>
            </w:rPr>
            <w:t xml:space="preserve"> </w:t>
          </w:r>
          <w:proofErr w:type="spellStart"/>
          <w:r w:rsidRPr="002F7B6C">
            <w:rPr>
              <w:rFonts w:ascii="Calibri" w:eastAsia="Times New Roman" w:hAnsi="Calibri" w:cs="Calibri"/>
              <w:b/>
              <w:bCs/>
              <w:i/>
              <w:color w:val="000000"/>
              <w:sz w:val="28"/>
              <w:szCs w:val="36"/>
              <w:lang w:eastAsia="es-MX"/>
            </w:rPr>
            <w:t>of</w:t>
          </w:r>
          <w:proofErr w:type="spellEnd"/>
          <w:r w:rsidRPr="002F7B6C">
            <w:rPr>
              <w:rFonts w:ascii="Calibri" w:eastAsia="Times New Roman" w:hAnsi="Calibri" w:cs="Calibri"/>
              <w:b/>
              <w:bCs/>
              <w:i/>
              <w:color w:val="000000"/>
              <w:sz w:val="28"/>
              <w:szCs w:val="36"/>
              <w:lang w:eastAsia="es-MX"/>
            </w:rPr>
            <w:t xml:space="preserve"> </w:t>
          </w:r>
          <w:proofErr w:type="spellStart"/>
          <w:r w:rsidRPr="002F7B6C">
            <w:rPr>
              <w:rFonts w:ascii="Calibri" w:eastAsia="Times New Roman" w:hAnsi="Calibri" w:cs="Calibri"/>
              <w:b/>
              <w:bCs/>
              <w:i/>
              <w:color w:val="000000"/>
              <w:sz w:val="28"/>
              <w:szCs w:val="36"/>
              <w:lang w:eastAsia="es-MX"/>
            </w:rPr>
            <w:t>psychological</w:t>
          </w:r>
          <w:proofErr w:type="spellEnd"/>
          <w:r w:rsidRPr="002F7B6C">
            <w:rPr>
              <w:rFonts w:ascii="Calibri" w:eastAsia="Times New Roman" w:hAnsi="Calibri" w:cs="Calibri"/>
              <w:b/>
              <w:bCs/>
              <w:i/>
              <w:color w:val="000000"/>
              <w:sz w:val="28"/>
              <w:szCs w:val="36"/>
              <w:lang w:eastAsia="es-MX"/>
            </w:rPr>
            <w:t xml:space="preserve"> </w:t>
          </w:r>
          <w:proofErr w:type="spellStart"/>
          <w:r w:rsidRPr="002F7B6C">
            <w:rPr>
              <w:rFonts w:ascii="Calibri" w:eastAsia="Times New Roman" w:hAnsi="Calibri" w:cs="Calibri"/>
              <w:b/>
              <w:bCs/>
              <w:i/>
              <w:color w:val="000000"/>
              <w:sz w:val="28"/>
              <w:szCs w:val="36"/>
              <w:lang w:eastAsia="es-MX"/>
            </w:rPr>
            <w:t>well-being</w:t>
          </w:r>
          <w:proofErr w:type="spellEnd"/>
          <w:r w:rsidRPr="002F7B6C">
            <w:rPr>
              <w:rFonts w:ascii="Calibri" w:eastAsia="Times New Roman" w:hAnsi="Calibri" w:cs="Calibri"/>
              <w:b/>
              <w:bCs/>
              <w:i/>
              <w:color w:val="000000"/>
              <w:sz w:val="28"/>
              <w:szCs w:val="36"/>
              <w:lang w:eastAsia="es-MX"/>
            </w:rPr>
            <w:t xml:space="preserve"> at </w:t>
          </w:r>
          <w:proofErr w:type="spellStart"/>
          <w:r w:rsidRPr="002F7B6C">
            <w:rPr>
              <w:rFonts w:ascii="Calibri" w:eastAsia="Times New Roman" w:hAnsi="Calibri" w:cs="Calibri"/>
              <w:b/>
              <w:bCs/>
              <w:i/>
              <w:color w:val="000000"/>
              <w:sz w:val="28"/>
              <w:szCs w:val="36"/>
              <w:lang w:eastAsia="es-MX"/>
            </w:rPr>
            <w:t>work</w:t>
          </w:r>
          <w:proofErr w:type="spellEnd"/>
          <w:r w:rsidRPr="002F7B6C">
            <w:rPr>
              <w:rFonts w:ascii="Calibri" w:eastAsia="Times New Roman" w:hAnsi="Calibri" w:cs="Calibri"/>
              <w:b/>
              <w:bCs/>
              <w:i/>
              <w:color w:val="000000"/>
              <w:sz w:val="28"/>
              <w:szCs w:val="36"/>
              <w:lang w:eastAsia="es-MX"/>
            </w:rPr>
            <w:t xml:space="preserve">, </w:t>
          </w:r>
          <w:proofErr w:type="spellStart"/>
          <w:r w:rsidRPr="002F7B6C">
            <w:rPr>
              <w:rFonts w:ascii="Calibri" w:eastAsia="Times New Roman" w:hAnsi="Calibri" w:cs="Calibri"/>
              <w:b/>
              <w:bCs/>
              <w:i/>
              <w:color w:val="000000"/>
              <w:sz w:val="28"/>
              <w:szCs w:val="36"/>
              <w:lang w:eastAsia="es-MX"/>
            </w:rPr>
            <w:t>transformational</w:t>
          </w:r>
          <w:proofErr w:type="spellEnd"/>
          <w:r w:rsidRPr="002F7B6C">
            <w:rPr>
              <w:rFonts w:ascii="Calibri" w:eastAsia="Times New Roman" w:hAnsi="Calibri" w:cs="Calibri"/>
              <w:b/>
              <w:bCs/>
              <w:i/>
              <w:color w:val="000000"/>
              <w:sz w:val="28"/>
              <w:szCs w:val="36"/>
              <w:lang w:eastAsia="es-MX"/>
            </w:rPr>
            <w:t xml:space="preserve"> </w:t>
          </w:r>
          <w:proofErr w:type="spellStart"/>
          <w:r w:rsidRPr="002F7B6C">
            <w:rPr>
              <w:rFonts w:ascii="Calibri" w:eastAsia="Times New Roman" w:hAnsi="Calibri" w:cs="Calibri"/>
              <w:b/>
              <w:bCs/>
              <w:i/>
              <w:color w:val="000000"/>
              <w:sz w:val="28"/>
              <w:szCs w:val="36"/>
              <w:lang w:eastAsia="es-MX"/>
            </w:rPr>
            <w:t>leadership</w:t>
          </w:r>
          <w:proofErr w:type="spellEnd"/>
          <w:r w:rsidRPr="002F7B6C">
            <w:rPr>
              <w:rFonts w:ascii="Calibri" w:eastAsia="Times New Roman" w:hAnsi="Calibri" w:cs="Calibri"/>
              <w:b/>
              <w:bCs/>
              <w:i/>
              <w:color w:val="000000"/>
              <w:sz w:val="28"/>
              <w:szCs w:val="36"/>
              <w:lang w:eastAsia="es-MX"/>
            </w:rPr>
            <w:t xml:space="preserve"> and trust in </w:t>
          </w:r>
          <w:proofErr w:type="spellStart"/>
          <w:r w:rsidRPr="002F7B6C">
            <w:rPr>
              <w:rFonts w:ascii="Calibri" w:eastAsia="Times New Roman" w:hAnsi="Calibri" w:cs="Calibri"/>
              <w:b/>
              <w:bCs/>
              <w:i/>
              <w:color w:val="000000"/>
              <w:sz w:val="28"/>
              <w:szCs w:val="36"/>
              <w:lang w:eastAsia="es-MX"/>
            </w:rPr>
            <w:t>the</w:t>
          </w:r>
          <w:proofErr w:type="spellEnd"/>
          <w:r w:rsidRPr="002F7B6C">
            <w:rPr>
              <w:rFonts w:ascii="Calibri" w:eastAsia="Times New Roman" w:hAnsi="Calibri" w:cs="Calibri"/>
              <w:b/>
              <w:bCs/>
              <w:i/>
              <w:color w:val="000000"/>
              <w:sz w:val="28"/>
              <w:szCs w:val="36"/>
              <w:lang w:eastAsia="es-MX"/>
            </w:rPr>
            <w:t xml:space="preserve"> leader: Case </w:t>
          </w:r>
          <w:proofErr w:type="spellStart"/>
          <w:r w:rsidRPr="002F7B6C">
            <w:rPr>
              <w:rFonts w:ascii="Calibri" w:eastAsia="Times New Roman" w:hAnsi="Calibri" w:cs="Calibri"/>
              <w:b/>
              <w:bCs/>
              <w:i/>
              <w:color w:val="000000"/>
              <w:sz w:val="28"/>
              <w:szCs w:val="36"/>
              <w:lang w:eastAsia="es-MX"/>
            </w:rPr>
            <w:t>of</w:t>
          </w:r>
          <w:proofErr w:type="spellEnd"/>
          <w:r w:rsidRPr="002F7B6C">
            <w:rPr>
              <w:rFonts w:ascii="Calibri" w:eastAsia="Times New Roman" w:hAnsi="Calibri" w:cs="Calibri"/>
              <w:b/>
              <w:bCs/>
              <w:i/>
              <w:color w:val="000000"/>
              <w:sz w:val="28"/>
              <w:szCs w:val="36"/>
              <w:lang w:eastAsia="es-MX"/>
            </w:rPr>
            <w:t xml:space="preserve"> </w:t>
          </w:r>
          <w:proofErr w:type="spellStart"/>
          <w:r w:rsidRPr="002F7B6C">
            <w:rPr>
              <w:rFonts w:ascii="Calibri" w:eastAsia="Times New Roman" w:hAnsi="Calibri" w:cs="Calibri"/>
              <w:b/>
              <w:bCs/>
              <w:i/>
              <w:color w:val="000000"/>
              <w:sz w:val="28"/>
              <w:szCs w:val="36"/>
              <w:lang w:eastAsia="es-MX"/>
            </w:rPr>
            <w:t>an</w:t>
          </w:r>
          <w:proofErr w:type="spellEnd"/>
          <w:r w:rsidRPr="002F7B6C">
            <w:rPr>
              <w:rFonts w:ascii="Calibri" w:eastAsia="Times New Roman" w:hAnsi="Calibri" w:cs="Calibri"/>
              <w:b/>
              <w:bCs/>
              <w:i/>
              <w:color w:val="000000"/>
              <w:sz w:val="28"/>
              <w:szCs w:val="36"/>
              <w:lang w:eastAsia="es-MX"/>
            </w:rPr>
            <w:t xml:space="preserve"> industrial </w:t>
          </w:r>
          <w:proofErr w:type="spellStart"/>
          <w:r w:rsidRPr="002F7B6C">
            <w:rPr>
              <w:rFonts w:ascii="Calibri" w:eastAsia="Times New Roman" w:hAnsi="Calibri" w:cs="Calibri"/>
              <w:b/>
              <w:bCs/>
              <w:i/>
              <w:color w:val="000000"/>
              <w:sz w:val="28"/>
              <w:szCs w:val="36"/>
              <w:lang w:eastAsia="es-MX"/>
            </w:rPr>
            <w:t>small</w:t>
          </w:r>
          <w:proofErr w:type="spellEnd"/>
          <w:r w:rsidRPr="002F7B6C">
            <w:rPr>
              <w:rFonts w:ascii="Calibri" w:eastAsia="Times New Roman" w:hAnsi="Calibri" w:cs="Calibri"/>
              <w:b/>
              <w:bCs/>
              <w:i/>
              <w:color w:val="000000"/>
              <w:sz w:val="28"/>
              <w:szCs w:val="36"/>
              <w:lang w:eastAsia="es-MX"/>
            </w:rPr>
            <w:t xml:space="preserve"> </w:t>
          </w:r>
          <w:r w:rsidR="002F7B6C" w:rsidRPr="002F7B6C">
            <w:rPr>
              <w:rFonts w:ascii="Calibri" w:eastAsia="Times New Roman" w:hAnsi="Calibri" w:cs="Calibri"/>
              <w:b/>
              <w:bCs/>
              <w:i/>
              <w:color w:val="000000"/>
              <w:sz w:val="28"/>
              <w:szCs w:val="36"/>
              <w:lang w:eastAsia="es-MX"/>
            </w:rPr>
            <w:t>Enterprise</w:t>
          </w:r>
        </w:p>
        <w:p w14:paraId="2DC79606" w14:textId="77777777" w:rsidR="002F7B6C" w:rsidRPr="002F7B6C" w:rsidRDefault="002F7B6C" w:rsidP="00D35C7B">
          <w:pPr>
            <w:spacing w:before="240" w:line="276" w:lineRule="auto"/>
            <w:jc w:val="right"/>
            <w:rPr>
              <w:rFonts w:ascii="Calibri" w:eastAsia="Times New Roman" w:hAnsi="Calibri" w:cs="Calibri"/>
              <w:b/>
              <w:bCs/>
              <w:i/>
              <w:color w:val="000000"/>
              <w:sz w:val="28"/>
              <w:szCs w:val="36"/>
              <w:lang w:eastAsia="es-MX"/>
            </w:rPr>
          </w:pPr>
          <w:proofErr w:type="spellStart"/>
          <w:r w:rsidRPr="002F7B6C">
            <w:rPr>
              <w:rFonts w:ascii="Calibri" w:eastAsia="Times New Roman" w:hAnsi="Calibri" w:cs="Calibri"/>
              <w:b/>
              <w:bCs/>
              <w:i/>
              <w:color w:val="000000"/>
              <w:sz w:val="28"/>
              <w:szCs w:val="36"/>
              <w:lang w:eastAsia="es-MX"/>
            </w:rPr>
            <w:t>Análise</w:t>
          </w:r>
          <w:proofErr w:type="spellEnd"/>
          <w:r w:rsidRPr="002F7B6C">
            <w:rPr>
              <w:rFonts w:ascii="Calibri" w:eastAsia="Times New Roman" w:hAnsi="Calibri" w:cs="Calibri"/>
              <w:b/>
              <w:bCs/>
              <w:i/>
              <w:color w:val="000000"/>
              <w:sz w:val="28"/>
              <w:szCs w:val="36"/>
              <w:lang w:eastAsia="es-MX"/>
            </w:rPr>
            <w:t xml:space="preserve"> correlacional do </w:t>
          </w:r>
          <w:proofErr w:type="spellStart"/>
          <w:r w:rsidRPr="002F7B6C">
            <w:rPr>
              <w:rFonts w:ascii="Calibri" w:eastAsia="Times New Roman" w:hAnsi="Calibri" w:cs="Calibri"/>
              <w:b/>
              <w:bCs/>
              <w:i/>
              <w:color w:val="000000"/>
              <w:sz w:val="28"/>
              <w:szCs w:val="36"/>
              <w:lang w:eastAsia="es-MX"/>
            </w:rPr>
            <w:t>bem</w:t>
          </w:r>
          <w:proofErr w:type="spellEnd"/>
          <w:r w:rsidRPr="002F7B6C">
            <w:rPr>
              <w:rFonts w:ascii="Calibri" w:eastAsia="Times New Roman" w:hAnsi="Calibri" w:cs="Calibri"/>
              <w:b/>
              <w:bCs/>
              <w:i/>
              <w:color w:val="000000"/>
              <w:sz w:val="28"/>
              <w:szCs w:val="36"/>
              <w:lang w:eastAsia="es-MX"/>
            </w:rPr>
            <w:t xml:space="preserve">-estar psicológico no </w:t>
          </w:r>
          <w:proofErr w:type="spellStart"/>
          <w:r w:rsidRPr="002F7B6C">
            <w:rPr>
              <w:rFonts w:ascii="Calibri" w:eastAsia="Times New Roman" w:hAnsi="Calibri" w:cs="Calibri"/>
              <w:b/>
              <w:bCs/>
              <w:i/>
              <w:color w:val="000000"/>
              <w:sz w:val="28"/>
              <w:szCs w:val="36"/>
              <w:lang w:eastAsia="es-MX"/>
            </w:rPr>
            <w:t>trabalho</w:t>
          </w:r>
          <w:proofErr w:type="spellEnd"/>
          <w:r w:rsidRPr="002F7B6C">
            <w:rPr>
              <w:rFonts w:ascii="Calibri" w:eastAsia="Times New Roman" w:hAnsi="Calibri" w:cs="Calibri"/>
              <w:b/>
              <w:bCs/>
              <w:i/>
              <w:color w:val="000000"/>
              <w:sz w:val="28"/>
              <w:szCs w:val="36"/>
              <w:lang w:eastAsia="es-MX"/>
            </w:rPr>
            <w:t xml:space="preserve">, </w:t>
          </w:r>
          <w:proofErr w:type="spellStart"/>
          <w:r w:rsidRPr="002F7B6C">
            <w:rPr>
              <w:rFonts w:ascii="Calibri" w:eastAsia="Times New Roman" w:hAnsi="Calibri" w:cs="Calibri"/>
              <w:b/>
              <w:bCs/>
              <w:i/>
              <w:color w:val="000000"/>
              <w:sz w:val="28"/>
              <w:szCs w:val="36"/>
              <w:lang w:eastAsia="es-MX"/>
            </w:rPr>
            <w:t>liderança</w:t>
          </w:r>
          <w:proofErr w:type="spellEnd"/>
          <w:r w:rsidRPr="002F7B6C">
            <w:rPr>
              <w:rFonts w:ascii="Calibri" w:eastAsia="Times New Roman" w:hAnsi="Calibri" w:cs="Calibri"/>
              <w:b/>
              <w:bCs/>
              <w:i/>
              <w:color w:val="000000"/>
              <w:sz w:val="28"/>
              <w:szCs w:val="36"/>
              <w:lang w:eastAsia="es-MX"/>
            </w:rPr>
            <w:t xml:space="preserve"> transformacional e </w:t>
          </w:r>
          <w:proofErr w:type="spellStart"/>
          <w:r w:rsidRPr="002F7B6C">
            <w:rPr>
              <w:rFonts w:ascii="Calibri" w:eastAsia="Times New Roman" w:hAnsi="Calibri" w:cs="Calibri"/>
              <w:b/>
              <w:bCs/>
              <w:i/>
              <w:color w:val="000000"/>
              <w:sz w:val="28"/>
              <w:szCs w:val="36"/>
              <w:lang w:eastAsia="es-MX"/>
            </w:rPr>
            <w:t>confiança</w:t>
          </w:r>
          <w:proofErr w:type="spellEnd"/>
          <w:r w:rsidRPr="002F7B6C">
            <w:rPr>
              <w:rFonts w:ascii="Calibri" w:eastAsia="Times New Roman" w:hAnsi="Calibri" w:cs="Calibri"/>
              <w:b/>
              <w:bCs/>
              <w:i/>
              <w:color w:val="000000"/>
              <w:sz w:val="28"/>
              <w:szCs w:val="36"/>
              <w:lang w:eastAsia="es-MX"/>
            </w:rPr>
            <w:t xml:space="preserve"> no líder: caso de </w:t>
          </w:r>
          <w:proofErr w:type="spellStart"/>
          <w:r w:rsidRPr="002F7B6C">
            <w:rPr>
              <w:rFonts w:ascii="Calibri" w:eastAsia="Times New Roman" w:hAnsi="Calibri" w:cs="Calibri"/>
              <w:b/>
              <w:bCs/>
              <w:i/>
              <w:color w:val="000000"/>
              <w:sz w:val="28"/>
              <w:szCs w:val="36"/>
              <w:lang w:eastAsia="es-MX"/>
            </w:rPr>
            <w:t>um</w:t>
          </w:r>
          <w:proofErr w:type="spellEnd"/>
          <w:r w:rsidRPr="002F7B6C">
            <w:rPr>
              <w:rFonts w:ascii="Calibri" w:eastAsia="Times New Roman" w:hAnsi="Calibri" w:cs="Calibri"/>
              <w:b/>
              <w:bCs/>
              <w:i/>
              <w:color w:val="000000"/>
              <w:sz w:val="28"/>
              <w:szCs w:val="36"/>
              <w:lang w:eastAsia="es-MX"/>
            </w:rPr>
            <w:t xml:space="preserve"> tipo industrial</w:t>
          </w:r>
        </w:p>
        <w:p w14:paraId="5CD32F2E" w14:textId="77777777" w:rsidR="00707273" w:rsidRPr="00730456" w:rsidRDefault="00707273" w:rsidP="0087387E">
          <w:pPr>
            <w:jc w:val="center"/>
            <w:rPr>
              <w:b/>
              <w:bCs/>
              <w:lang w:val="en-US"/>
            </w:rPr>
          </w:pPr>
        </w:p>
        <w:p w14:paraId="513E3726" w14:textId="77777777" w:rsidR="00017784" w:rsidRDefault="00E237D2" w:rsidP="002F7B6C">
          <w:pPr>
            <w:spacing w:after="0" w:line="276" w:lineRule="auto"/>
            <w:jc w:val="right"/>
            <w:rPr>
              <w:rFonts w:ascii="Calibri" w:hAnsi="Calibri" w:cs="Calibri"/>
              <w:color w:val="FF0000"/>
              <w:szCs w:val="22"/>
            </w:rPr>
          </w:pPr>
          <w:r w:rsidRPr="002F7B6C">
            <w:rPr>
              <w:rFonts w:ascii="Calibri" w:eastAsia="Calibri" w:hAnsi="Calibri" w:cs="Calibri"/>
              <w:b/>
              <w:lang w:val="es-ES"/>
            </w:rPr>
            <w:t>María Brenda González Herrera</w:t>
          </w:r>
          <w:r w:rsidR="002F7B6C">
            <w:rPr>
              <w:rFonts w:ascii="Calibri" w:eastAsia="Calibri" w:hAnsi="Calibri" w:cs="Calibri"/>
              <w:b/>
              <w:lang w:val="es-ES"/>
            </w:rPr>
            <w:br/>
          </w:r>
          <w:r w:rsidR="0033783F" w:rsidRPr="00347509">
            <w:rPr>
              <w:bCs/>
            </w:rPr>
            <w:t>Universidad Juárez del Estado de Durango</w:t>
          </w:r>
          <w:r w:rsidR="002F7B6C">
            <w:rPr>
              <w:bCs/>
            </w:rPr>
            <w:t>, México</w:t>
          </w:r>
          <w:r w:rsidR="002F7B6C">
            <w:rPr>
              <w:bCs/>
            </w:rPr>
            <w:br/>
          </w:r>
          <w:r w:rsidRPr="00347509">
            <w:rPr>
              <w:bCs/>
            </w:rPr>
            <w:t xml:space="preserve"> </w:t>
          </w:r>
          <w:hyperlink r:id="rId7" w:history="1">
            <w:r w:rsidRPr="002F7B6C">
              <w:rPr>
                <w:rFonts w:ascii="Calibri" w:hAnsi="Calibri" w:cs="Calibri"/>
                <w:color w:val="FF0000"/>
                <w:szCs w:val="22"/>
              </w:rPr>
              <w:t>mbrendagh@gmail.com</w:t>
            </w:r>
          </w:hyperlink>
        </w:p>
        <w:p w14:paraId="2CC5F119" w14:textId="1AE87934" w:rsidR="00E237D2" w:rsidRPr="00127606" w:rsidRDefault="00017784" w:rsidP="002F7B6C">
          <w:pPr>
            <w:spacing w:after="0" w:line="276" w:lineRule="auto"/>
            <w:jc w:val="right"/>
            <w:rPr>
              <w:bCs/>
            </w:rPr>
          </w:pPr>
          <w:r w:rsidRPr="00127606">
            <w:rPr>
              <w:bCs/>
            </w:rPr>
            <w:t>https://orcid.org/0000-0003-3697-2074</w:t>
          </w:r>
          <w:r w:rsidR="00347509" w:rsidRPr="00127606">
            <w:rPr>
              <w:bCs/>
            </w:rPr>
            <w:t xml:space="preserve"> </w:t>
          </w:r>
        </w:p>
        <w:p w14:paraId="40BF0973" w14:textId="77777777" w:rsidR="00C42FA8" w:rsidRPr="00C42FA8" w:rsidRDefault="00C42FA8" w:rsidP="002F7B6C">
          <w:pPr>
            <w:spacing w:after="0" w:line="276" w:lineRule="auto"/>
            <w:jc w:val="center"/>
            <w:rPr>
              <w:b/>
              <w:bCs/>
            </w:rPr>
          </w:pPr>
        </w:p>
        <w:p w14:paraId="6095E51D" w14:textId="019BBD84" w:rsidR="00017784" w:rsidRDefault="00E237D2" w:rsidP="002F7B6C">
          <w:pPr>
            <w:spacing w:after="0" w:line="276" w:lineRule="auto"/>
            <w:jc w:val="right"/>
            <w:rPr>
              <w:rFonts w:ascii="Calibri" w:hAnsi="Calibri" w:cs="Calibri"/>
              <w:color w:val="FF0000"/>
              <w:szCs w:val="22"/>
            </w:rPr>
          </w:pPr>
          <w:r w:rsidRPr="002F7B6C">
            <w:rPr>
              <w:rFonts w:ascii="Calibri" w:eastAsia="Calibri" w:hAnsi="Calibri" w:cs="Calibri"/>
              <w:b/>
              <w:lang w:val="es-ES"/>
            </w:rPr>
            <w:t>José Gerardo Ignacio Gómez Romero</w:t>
          </w:r>
          <w:r w:rsidR="002F7B6C">
            <w:rPr>
              <w:rFonts w:ascii="Calibri" w:eastAsia="Calibri" w:hAnsi="Calibri" w:cs="Calibri"/>
              <w:b/>
              <w:lang w:val="es-ES"/>
            </w:rPr>
            <w:br/>
          </w:r>
          <w:r w:rsidR="0033783F" w:rsidRPr="00347509">
            <w:rPr>
              <w:bCs/>
            </w:rPr>
            <w:t>Universidad Juárez del Estado de Durango</w:t>
          </w:r>
          <w:r w:rsidR="002F7B6C">
            <w:rPr>
              <w:bCs/>
            </w:rPr>
            <w:t>, México</w:t>
          </w:r>
          <w:r w:rsidR="002F7B6C">
            <w:rPr>
              <w:bCs/>
            </w:rPr>
            <w:br/>
          </w:r>
          <w:hyperlink r:id="rId8" w:history="1">
            <w:r w:rsidR="00C42FA8" w:rsidRPr="002F7B6C">
              <w:rPr>
                <w:rFonts w:ascii="Calibri" w:hAnsi="Calibri" w:cs="Calibri"/>
                <w:color w:val="FF0000"/>
                <w:szCs w:val="22"/>
              </w:rPr>
              <w:t>gerardoignaciog@yahoo.com.mx</w:t>
            </w:r>
          </w:hyperlink>
        </w:p>
        <w:p w14:paraId="4EC2251A" w14:textId="39A264D0" w:rsidR="00017784" w:rsidRPr="00127606" w:rsidRDefault="00017784" w:rsidP="002F7B6C">
          <w:pPr>
            <w:spacing w:after="0" w:line="276" w:lineRule="auto"/>
            <w:jc w:val="right"/>
            <w:rPr>
              <w:bCs/>
            </w:rPr>
          </w:pPr>
          <w:r w:rsidRPr="00127606">
            <w:rPr>
              <w:bCs/>
            </w:rPr>
            <w:t>https://orcid.org/0000-0002-7900-9141</w:t>
          </w:r>
        </w:p>
        <w:p w14:paraId="7BDA518C" w14:textId="619D0A02" w:rsidR="0033783F" w:rsidRPr="002F7B6C" w:rsidRDefault="00347509" w:rsidP="002F7B6C">
          <w:pPr>
            <w:spacing w:after="0" w:line="276" w:lineRule="auto"/>
            <w:jc w:val="right"/>
            <w:rPr>
              <w:rFonts w:ascii="Calibri" w:hAnsi="Calibri" w:cs="Calibri"/>
              <w:color w:val="FF0000"/>
              <w:szCs w:val="22"/>
            </w:rPr>
          </w:pPr>
          <w:r w:rsidRPr="002F7B6C">
            <w:rPr>
              <w:rFonts w:ascii="Calibri" w:hAnsi="Calibri" w:cs="Calibri"/>
              <w:color w:val="FF0000"/>
              <w:szCs w:val="22"/>
            </w:rPr>
            <w:t xml:space="preserve"> </w:t>
          </w:r>
        </w:p>
        <w:p w14:paraId="7A736702" w14:textId="77777777" w:rsidR="00017784" w:rsidRDefault="00E237D2" w:rsidP="002F7B6C">
          <w:pPr>
            <w:spacing w:after="0" w:line="276" w:lineRule="auto"/>
            <w:jc w:val="right"/>
            <w:rPr>
              <w:rFonts w:ascii="Calibri" w:hAnsi="Calibri" w:cs="Calibri"/>
              <w:color w:val="FF0000"/>
              <w:szCs w:val="22"/>
            </w:rPr>
          </w:pPr>
          <w:r w:rsidRPr="002F7B6C">
            <w:rPr>
              <w:rFonts w:ascii="Calibri" w:eastAsia="Calibri" w:hAnsi="Calibri" w:cs="Calibri"/>
              <w:b/>
              <w:lang w:val="es-ES"/>
            </w:rPr>
            <w:t>Ernesto Geovani Figueroa González</w:t>
          </w:r>
          <w:r w:rsidR="002F7B6C">
            <w:rPr>
              <w:rFonts w:ascii="Calibri" w:eastAsia="Calibri" w:hAnsi="Calibri" w:cs="Calibri"/>
              <w:b/>
              <w:lang w:val="es-ES"/>
            </w:rPr>
            <w:br/>
          </w:r>
          <w:r w:rsidR="002D2076" w:rsidRPr="00347509">
            <w:rPr>
              <w:bCs/>
            </w:rPr>
            <w:t>Universidad Juárez del Estado de Durango</w:t>
          </w:r>
          <w:r w:rsidR="002F7B6C">
            <w:rPr>
              <w:bCs/>
            </w:rPr>
            <w:br/>
          </w:r>
          <w:r w:rsidR="00347509" w:rsidRPr="002F7B6C">
            <w:rPr>
              <w:rFonts w:ascii="Calibri" w:hAnsi="Calibri" w:cs="Calibri"/>
              <w:color w:val="FF0000"/>
              <w:szCs w:val="22"/>
            </w:rPr>
            <w:t>geovani.figueroa@ujed.mx</w:t>
          </w:r>
        </w:p>
        <w:p w14:paraId="5BC64C3B" w14:textId="135D14DF" w:rsidR="002D2076" w:rsidRPr="00127606" w:rsidRDefault="006B7621" w:rsidP="002F7B6C">
          <w:pPr>
            <w:spacing w:after="0" w:line="276" w:lineRule="auto"/>
            <w:jc w:val="right"/>
            <w:rPr>
              <w:bCs/>
            </w:rPr>
          </w:pPr>
          <w:r w:rsidRPr="00127606">
            <w:rPr>
              <w:bCs/>
            </w:rPr>
            <w:t>https://orcid.org/0000-0002-6322.6133</w:t>
          </w:r>
          <w:r w:rsidR="00347509" w:rsidRPr="00127606">
            <w:rPr>
              <w:bCs/>
            </w:rPr>
            <w:t xml:space="preserve"> </w:t>
          </w:r>
        </w:p>
        <w:p w14:paraId="61676805" w14:textId="77777777" w:rsidR="00E237D2" w:rsidRPr="00C42FA8" w:rsidRDefault="00347509" w:rsidP="00E237D2">
          <w:pPr>
            <w:jc w:val="center"/>
            <w:rPr>
              <w:b/>
              <w:bCs/>
            </w:rPr>
          </w:pPr>
          <w:r>
            <w:rPr>
              <w:b/>
              <w:bCs/>
            </w:rPr>
            <w:t xml:space="preserve"> </w:t>
          </w:r>
        </w:p>
        <w:p w14:paraId="28F071B8" w14:textId="77777777" w:rsidR="00127606" w:rsidRDefault="00127606" w:rsidP="00E237D2">
          <w:pPr>
            <w:jc w:val="center"/>
          </w:pPr>
        </w:p>
        <w:p w14:paraId="2B4774E4" w14:textId="77777777" w:rsidR="00127606" w:rsidRDefault="00127606" w:rsidP="00E237D2">
          <w:pPr>
            <w:jc w:val="center"/>
          </w:pPr>
        </w:p>
        <w:p w14:paraId="6F5C0885" w14:textId="77777777" w:rsidR="00127606" w:rsidRDefault="00127606" w:rsidP="00E237D2">
          <w:pPr>
            <w:jc w:val="center"/>
          </w:pPr>
        </w:p>
        <w:p w14:paraId="38BFD146" w14:textId="77777777" w:rsidR="00127606" w:rsidRDefault="00127606" w:rsidP="00E237D2">
          <w:pPr>
            <w:jc w:val="center"/>
          </w:pPr>
        </w:p>
        <w:p w14:paraId="31CC471E" w14:textId="77777777" w:rsidR="00127606" w:rsidRDefault="00127606" w:rsidP="00E237D2">
          <w:pPr>
            <w:jc w:val="center"/>
          </w:pPr>
        </w:p>
        <w:p w14:paraId="570E8565" w14:textId="77777777" w:rsidR="006C5486" w:rsidRPr="00C42FA8" w:rsidRDefault="00717907" w:rsidP="00E237D2">
          <w:pPr>
            <w:jc w:val="center"/>
          </w:pPr>
        </w:p>
      </w:sdtContent>
    </w:sdt>
    <w:p w14:paraId="63205E03" w14:textId="77777777" w:rsidR="0093023F" w:rsidRPr="002F7B6C" w:rsidRDefault="0093023F" w:rsidP="002F7B6C">
      <w:pPr>
        <w:pStyle w:val="Ttulo1"/>
        <w:spacing w:after="0"/>
        <w:rPr>
          <w:rFonts w:ascii="Calibri" w:hAnsi="Calibri" w:cs="Calibri"/>
          <w:bCs w:val="0"/>
          <w:color w:val="auto"/>
          <w:sz w:val="28"/>
          <w:szCs w:val="24"/>
          <w:lang w:val="en-US"/>
        </w:rPr>
      </w:pPr>
      <w:proofErr w:type="spellStart"/>
      <w:r w:rsidRPr="002F7B6C">
        <w:rPr>
          <w:rFonts w:ascii="Calibri" w:hAnsi="Calibri" w:cs="Calibri"/>
          <w:bCs w:val="0"/>
          <w:color w:val="auto"/>
          <w:sz w:val="28"/>
          <w:szCs w:val="24"/>
          <w:lang w:val="en-US"/>
        </w:rPr>
        <w:lastRenderedPageBreak/>
        <w:t>Resumen</w:t>
      </w:r>
      <w:proofErr w:type="spellEnd"/>
    </w:p>
    <w:p w14:paraId="6BC38FA0" w14:textId="77777777" w:rsidR="0093023F" w:rsidRPr="00C42FA8" w:rsidRDefault="0093023F" w:rsidP="002F7B6C">
      <w:pPr>
        <w:spacing w:after="0" w:line="360" w:lineRule="auto"/>
        <w:jc w:val="both"/>
        <w:rPr>
          <w:shd w:val="clear" w:color="auto" w:fill="FFFFFF"/>
        </w:rPr>
      </w:pPr>
      <w:r w:rsidRPr="00C42FA8">
        <w:rPr>
          <w:iCs/>
          <w:color w:val="333333"/>
        </w:rPr>
        <w:t>E</w:t>
      </w:r>
      <w:r w:rsidR="002D2076" w:rsidRPr="00C42FA8">
        <w:rPr>
          <w:iCs/>
          <w:color w:val="333333"/>
        </w:rPr>
        <w:t>n el presente estudio</w:t>
      </w:r>
      <w:r w:rsidR="007C20DD">
        <w:rPr>
          <w:iCs/>
          <w:color w:val="333333"/>
        </w:rPr>
        <w:t xml:space="preserve"> se</w:t>
      </w:r>
      <w:r w:rsidR="002D2076" w:rsidRPr="00C42FA8">
        <w:rPr>
          <w:iCs/>
          <w:color w:val="333333"/>
        </w:rPr>
        <w:t xml:space="preserve"> examinó</w:t>
      </w:r>
      <w:r w:rsidRPr="00C42FA8">
        <w:rPr>
          <w:iCs/>
          <w:color w:val="333333"/>
        </w:rPr>
        <w:t xml:space="preserve"> la </w:t>
      </w:r>
      <w:r w:rsidR="0024296B" w:rsidRPr="00C42FA8">
        <w:rPr>
          <w:iCs/>
          <w:color w:val="333333"/>
        </w:rPr>
        <w:t>cor</w:t>
      </w:r>
      <w:r w:rsidRPr="00C42FA8">
        <w:rPr>
          <w:iCs/>
          <w:color w:val="333333"/>
        </w:rPr>
        <w:t>relación existente entr</w:t>
      </w:r>
      <w:r w:rsidR="00FE3B4F" w:rsidRPr="00C42FA8">
        <w:rPr>
          <w:iCs/>
          <w:color w:val="333333"/>
        </w:rPr>
        <w:t>e</w:t>
      </w:r>
      <w:r w:rsidR="00910C41" w:rsidRPr="00C42FA8">
        <w:rPr>
          <w:iCs/>
          <w:color w:val="333333"/>
        </w:rPr>
        <w:t xml:space="preserve"> el bienestar psicológico en el trabajo,</w:t>
      </w:r>
      <w:r w:rsidR="00FE3B4F" w:rsidRPr="00C42FA8">
        <w:rPr>
          <w:iCs/>
          <w:color w:val="333333"/>
        </w:rPr>
        <w:t xml:space="preserve"> el liderazgo transformacional y la confianza en el líder</w:t>
      </w:r>
      <w:r w:rsidR="00BD0ACA">
        <w:rPr>
          <w:iCs/>
          <w:color w:val="333333"/>
        </w:rPr>
        <w:t xml:space="preserve"> según </w:t>
      </w:r>
      <w:r w:rsidR="00DA0CB6" w:rsidRPr="00C42FA8">
        <w:rPr>
          <w:iCs/>
          <w:color w:val="333333"/>
        </w:rPr>
        <w:t xml:space="preserve">la percepción de trabajadores </w:t>
      </w:r>
      <w:r w:rsidR="00BD0ACA">
        <w:rPr>
          <w:iCs/>
          <w:color w:val="333333"/>
        </w:rPr>
        <w:t>de</w:t>
      </w:r>
      <w:r w:rsidRPr="00C42FA8">
        <w:rPr>
          <w:iCs/>
          <w:color w:val="333333"/>
        </w:rPr>
        <w:t xml:space="preserve"> una</w:t>
      </w:r>
      <w:r w:rsidR="00FE3B4F" w:rsidRPr="00C42FA8">
        <w:rPr>
          <w:iCs/>
          <w:color w:val="333333"/>
        </w:rPr>
        <w:t xml:space="preserve"> pequeña industria </w:t>
      </w:r>
      <w:r w:rsidR="0024296B" w:rsidRPr="00C42FA8">
        <w:rPr>
          <w:iCs/>
          <w:color w:val="333333"/>
        </w:rPr>
        <w:t>ubicada en la ciudad de Durango, estado de Durango, México</w:t>
      </w:r>
      <w:r w:rsidRPr="00C42FA8">
        <w:rPr>
          <w:iCs/>
          <w:color w:val="333333"/>
        </w:rPr>
        <w:t>.</w:t>
      </w:r>
      <w:r w:rsidRPr="00C42FA8">
        <w:rPr>
          <w:color w:val="292526"/>
        </w:rPr>
        <w:t xml:space="preserve"> El objetivo de la investigación fue analizar l</w:t>
      </w:r>
      <w:r w:rsidR="0024296B" w:rsidRPr="00C42FA8">
        <w:rPr>
          <w:color w:val="292526"/>
        </w:rPr>
        <w:t>as posibles relaciones entre las</w:t>
      </w:r>
      <w:r w:rsidRPr="00C42FA8">
        <w:rPr>
          <w:color w:val="292526"/>
        </w:rPr>
        <w:t xml:space="preserve"> percepciones de</w:t>
      </w:r>
      <w:r w:rsidR="0024296B" w:rsidRPr="00C42FA8">
        <w:rPr>
          <w:color w:val="292526"/>
        </w:rPr>
        <w:t xml:space="preserve"> los trabajadores sobre el estilo de liderazgo y su bienestar psicológico</w:t>
      </w:r>
      <w:r w:rsidRPr="00C42FA8">
        <w:rPr>
          <w:color w:val="292526"/>
        </w:rPr>
        <w:t>, así como verificar el papel de la confianza sobre tales relaciones. Se</w:t>
      </w:r>
      <w:r w:rsidR="0024296B" w:rsidRPr="00C42FA8">
        <w:rPr>
          <w:color w:val="292526"/>
        </w:rPr>
        <w:t xml:space="preserve"> llevó a cabo un estudio de caso </w:t>
      </w:r>
      <w:r w:rsidR="0024296B" w:rsidRPr="00C42FA8">
        <w:t>cuantitativo, de corte transversal correlacional</w:t>
      </w:r>
      <w:r w:rsidR="00B4315C">
        <w:t xml:space="preserve">. En concreto, se realizó </w:t>
      </w:r>
      <w:r w:rsidR="0024296B" w:rsidRPr="00C42FA8">
        <w:t>un censo a</w:t>
      </w:r>
      <w:r w:rsidR="0024296B" w:rsidRPr="00C42FA8">
        <w:rPr>
          <w:color w:val="292526"/>
        </w:rPr>
        <w:t xml:space="preserve"> una población</w:t>
      </w:r>
      <w:r w:rsidRPr="00C42FA8">
        <w:rPr>
          <w:color w:val="292526"/>
        </w:rPr>
        <w:t xml:space="preserve"> de 2</w:t>
      </w:r>
      <w:r w:rsidR="00BD0ACA">
        <w:rPr>
          <w:color w:val="292526"/>
        </w:rPr>
        <w:t>3 trabajadores.</w:t>
      </w:r>
      <w:r w:rsidR="0024296B" w:rsidRPr="00C42FA8">
        <w:rPr>
          <w:color w:val="292526"/>
        </w:rPr>
        <w:t xml:space="preserve"> </w:t>
      </w:r>
      <w:r w:rsidR="00BD0ACA">
        <w:rPr>
          <w:color w:val="292526"/>
        </w:rPr>
        <w:t>E</w:t>
      </w:r>
      <w:r w:rsidR="0024296B" w:rsidRPr="00C42FA8">
        <w:rPr>
          <w:color w:val="292526"/>
        </w:rPr>
        <w:t>l a</w:t>
      </w:r>
      <w:r w:rsidRPr="00C42FA8">
        <w:rPr>
          <w:color w:val="292526"/>
        </w:rPr>
        <w:t>ná</w:t>
      </w:r>
      <w:r w:rsidR="0024296B" w:rsidRPr="00C42FA8">
        <w:rPr>
          <w:color w:val="292526"/>
        </w:rPr>
        <w:t xml:space="preserve">lisis de correlaciones </w:t>
      </w:r>
      <w:r w:rsidR="00B4315C">
        <w:rPr>
          <w:color w:val="292526"/>
        </w:rPr>
        <w:t xml:space="preserve">mostró </w:t>
      </w:r>
      <w:r w:rsidRPr="00C42FA8">
        <w:rPr>
          <w:color w:val="292526"/>
        </w:rPr>
        <w:t>importantes asociaciones entre el liderazgo transformador (consideración individualizada, motivación inspiradora, influencia idealizada y estimulación intelectual</w:t>
      </w:r>
      <w:r w:rsidR="0024296B" w:rsidRPr="00C42FA8">
        <w:rPr>
          <w:color w:val="292526"/>
        </w:rPr>
        <w:t xml:space="preserve">), la confianza en el </w:t>
      </w:r>
      <w:r w:rsidR="001D3352" w:rsidRPr="00C42FA8">
        <w:rPr>
          <w:color w:val="292526"/>
        </w:rPr>
        <w:t>gerente,</w:t>
      </w:r>
      <w:r w:rsidR="0024296B" w:rsidRPr="00C42FA8">
        <w:rPr>
          <w:color w:val="292526"/>
        </w:rPr>
        <w:t xml:space="preserve"> así como el bienestar psicológico en el trabajo. </w:t>
      </w:r>
      <w:r w:rsidR="0024296B" w:rsidRPr="00C42FA8">
        <w:rPr>
          <w:shd w:val="clear" w:color="auto" w:fill="FFFFFF"/>
        </w:rPr>
        <w:t>Desde una perspectiva práctica</w:t>
      </w:r>
      <w:r w:rsidR="00BD0ACA">
        <w:rPr>
          <w:shd w:val="clear" w:color="auto" w:fill="FFFFFF"/>
        </w:rPr>
        <w:t>,</w:t>
      </w:r>
      <w:r w:rsidR="0024296B" w:rsidRPr="00C42FA8">
        <w:rPr>
          <w:shd w:val="clear" w:color="auto" w:fill="FFFFFF"/>
        </w:rPr>
        <w:t xml:space="preserve"> los aportes científicos proveen una herramienta potencial para el diagnóstico del bienestar psicológico en el trabajo con un rigor metodológico en la métrica, lo cual permite comprender las noc</w:t>
      </w:r>
      <w:r w:rsidR="006150F9">
        <w:rPr>
          <w:shd w:val="clear" w:color="auto" w:fill="FFFFFF"/>
        </w:rPr>
        <w:t xml:space="preserve">iones de bienestar y </w:t>
      </w:r>
      <w:r w:rsidR="00F01F3B" w:rsidRPr="00C42FA8">
        <w:rPr>
          <w:shd w:val="clear" w:color="auto" w:fill="FFFFFF"/>
        </w:rPr>
        <w:t>liderazgo,</w:t>
      </w:r>
      <w:r w:rsidR="002D2076" w:rsidRPr="00C42FA8">
        <w:rPr>
          <w:shd w:val="clear" w:color="auto" w:fill="FFFFFF"/>
        </w:rPr>
        <w:t xml:space="preserve"> así como</w:t>
      </w:r>
      <w:r w:rsidR="0024296B" w:rsidRPr="00C42FA8">
        <w:rPr>
          <w:shd w:val="clear" w:color="auto" w:fill="FFFFFF"/>
        </w:rPr>
        <w:t xml:space="preserve"> plantear estrategias organizacionales para las </w:t>
      </w:r>
      <w:proofErr w:type="spellStart"/>
      <w:r w:rsidR="00BD0ACA" w:rsidRPr="00C42FA8">
        <w:rPr>
          <w:shd w:val="clear" w:color="auto" w:fill="FFFFFF"/>
        </w:rPr>
        <w:t>mypes</w:t>
      </w:r>
      <w:proofErr w:type="spellEnd"/>
      <w:r w:rsidR="0024296B" w:rsidRPr="00C42FA8">
        <w:rPr>
          <w:shd w:val="clear" w:color="auto" w:fill="FFFFFF"/>
        </w:rPr>
        <w:t>.</w:t>
      </w:r>
    </w:p>
    <w:p w14:paraId="4869D49A" w14:textId="77777777" w:rsidR="00666F95" w:rsidRDefault="0093023F" w:rsidP="007E4B66">
      <w:pPr>
        <w:spacing w:line="360" w:lineRule="auto"/>
        <w:jc w:val="both"/>
        <w:rPr>
          <w:color w:val="292526"/>
        </w:rPr>
      </w:pPr>
      <w:r w:rsidRPr="002F7B6C">
        <w:rPr>
          <w:rFonts w:ascii="Calibri" w:hAnsi="Calibri" w:cs="Calibri"/>
          <w:b/>
          <w:sz w:val="28"/>
          <w:lang w:val="en-US"/>
        </w:rPr>
        <w:t>Palabras clave:</w:t>
      </w:r>
      <w:r w:rsidRPr="002F7B6C">
        <w:rPr>
          <w:color w:val="292526"/>
        </w:rPr>
        <w:t xml:space="preserve"> </w:t>
      </w:r>
      <w:r w:rsidR="00347509">
        <w:rPr>
          <w:color w:val="292526"/>
        </w:rPr>
        <w:t>gestión empresarial,</w:t>
      </w:r>
      <w:r w:rsidR="00347509" w:rsidRPr="002F7B6C">
        <w:rPr>
          <w:color w:val="292526"/>
        </w:rPr>
        <w:t xml:space="preserve"> </w:t>
      </w:r>
      <w:r w:rsidR="00347509">
        <w:rPr>
          <w:color w:val="292526"/>
        </w:rPr>
        <w:t>liderazgo,</w:t>
      </w:r>
      <w:r w:rsidR="00347509" w:rsidRPr="002F7B6C">
        <w:rPr>
          <w:color w:val="292526"/>
        </w:rPr>
        <w:t xml:space="preserve"> p</w:t>
      </w:r>
      <w:r w:rsidR="006439CE" w:rsidRPr="002F7B6C">
        <w:rPr>
          <w:color w:val="292526"/>
        </w:rPr>
        <w:t>equeñas empresas</w:t>
      </w:r>
      <w:r w:rsidRPr="00C42FA8">
        <w:rPr>
          <w:color w:val="292526"/>
        </w:rPr>
        <w:t>.</w:t>
      </w:r>
    </w:p>
    <w:p w14:paraId="1F0DEBF1" w14:textId="77777777" w:rsidR="001D3352" w:rsidRPr="002F7B6C" w:rsidRDefault="001D3352" w:rsidP="002F7B6C">
      <w:pPr>
        <w:rPr>
          <w:rFonts w:ascii="Calibri" w:hAnsi="Calibri" w:cs="Calibri"/>
          <w:b/>
          <w:sz w:val="28"/>
          <w:lang w:val="en-US"/>
        </w:rPr>
      </w:pPr>
      <w:r w:rsidRPr="002F7B6C">
        <w:rPr>
          <w:rFonts w:ascii="Calibri" w:hAnsi="Calibri" w:cs="Calibri"/>
          <w:b/>
          <w:sz w:val="28"/>
          <w:lang w:val="en-US"/>
        </w:rPr>
        <w:t>Abstract</w:t>
      </w:r>
    </w:p>
    <w:p w14:paraId="742147C7" w14:textId="77777777" w:rsidR="005A63D5" w:rsidRPr="00C42FA8" w:rsidRDefault="002D2076" w:rsidP="005A6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olor w:val="212121"/>
          <w:lang w:val="en" w:eastAsia="es-MX"/>
        </w:rPr>
      </w:pPr>
      <w:r w:rsidRPr="00C42FA8">
        <w:rPr>
          <w:rFonts w:eastAsia="Times New Roman"/>
          <w:color w:val="212121"/>
          <w:lang w:val="en" w:eastAsia="es-MX"/>
        </w:rPr>
        <w:t>The present study examined</w:t>
      </w:r>
      <w:r w:rsidR="005A63D5" w:rsidRPr="00C42FA8">
        <w:rPr>
          <w:rFonts w:eastAsia="Times New Roman"/>
          <w:color w:val="212121"/>
          <w:lang w:val="en" w:eastAsia="es-MX"/>
        </w:rPr>
        <w:t xml:space="preserve"> the correlation between transformational leadership, psychological wel</w:t>
      </w:r>
      <w:r w:rsidR="00910C41" w:rsidRPr="00C42FA8">
        <w:rPr>
          <w:rFonts w:eastAsia="Times New Roman"/>
          <w:color w:val="212121"/>
          <w:lang w:val="en" w:eastAsia="es-MX"/>
        </w:rPr>
        <w:t>l-being at work and trust in</w:t>
      </w:r>
      <w:r w:rsidR="005A63D5" w:rsidRPr="00C42FA8">
        <w:rPr>
          <w:rFonts w:eastAsia="Times New Roman"/>
          <w:color w:val="212121"/>
          <w:lang w:val="en" w:eastAsia="es-MX"/>
        </w:rPr>
        <w:t xml:space="preserve"> leader in the perception of workers in a small transformation industry located in the city of Durango. State of Durango, Mexico. The objective of the research was to analyze the possibl</w:t>
      </w:r>
      <w:r w:rsidR="00707273">
        <w:rPr>
          <w:rFonts w:eastAsia="Times New Roman"/>
          <w:color w:val="212121"/>
          <w:lang w:val="en" w:eastAsia="es-MX"/>
        </w:rPr>
        <w:t>e relationships between workers’</w:t>
      </w:r>
      <w:r w:rsidR="005A63D5" w:rsidRPr="00C42FA8">
        <w:rPr>
          <w:rFonts w:eastAsia="Times New Roman"/>
          <w:color w:val="212121"/>
          <w:lang w:val="en" w:eastAsia="es-MX"/>
        </w:rPr>
        <w:t xml:space="preserve"> perceptions of leadership style and their psychological well-being, as well as to verify the role of trust in such relationships. A quantitative, cross-sectional correlational case study was carried out, carrying out a census of a population of 23 workers. The analysis of correlations shows important associations between transformative leadership (individualized consideration, inspiring motivation, idealized influence and intellectual stimulation). trust in the manager, as well as psychological well-being at work. From a practical perspective, scientific contributions provide a potential tool for the diagnosis of psychological well-being at work with a methodological rigor in the metrics, which allows understanding the notions of well-being and leadership and proposing organizational strategies for Mic</w:t>
      </w:r>
      <w:r w:rsidR="00910C41" w:rsidRPr="00C42FA8">
        <w:rPr>
          <w:rFonts w:eastAsia="Times New Roman"/>
          <w:color w:val="212121"/>
          <w:lang w:val="en" w:eastAsia="es-MX"/>
        </w:rPr>
        <w:t>ro and Small Enterprises (MSE´s)</w:t>
      </w:r>
      <w:r w:rsidR="005A63D5" w:rsidRPr="00C42FA8">
        <w:rPr>
          <w:rFonts w:eastAsia="Times New Roman"/>
          <w:color w:val="212121"/>
          <w:lang w:val="en" w:eastAsia="es-MX"/>
        </w:rPr>
        <w:t>.</w:t>
      </w:r>
    </w:p>
    <w:p w14:paraId="3BCB8538" w14:textId="77777777" w:rsidR="00666F95" w:rsidRDefault="002F7B6C" w:rsidP="00910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olor w:val="212121"/>
          <w:lang w:val="en" w:eastAsia="es-MX"/>
        </w:rPr>
      </w:pPr>
      <w:r>
        <w:rPr>
          <w:rFonts w:ascii="Calibri" w:hAnsi="Calibri" w:cs="Calibri"/>
          <w:b/>
          <w:sz w:val="28"/>
          <w:lang w:val="en-US"/>
        </w:rPr>
        <w:lastRenderedPageBreak/>
        <w:t>Key</w:t>
      </w:r>
      <w:r w:rsidR="00910C41" w:rsidRPr="002F7B6C">
        <w:rPr>
          <w:rFonts w:ascii="Calibri" w:hAnsi="Calibri" w:cs="Calibri"/>
          <w:b/>
          <w:sz w:val="28"/>
          <w:lang w:val="en-US"/>
        </w:rPr>
        <w:t>words:</w:t>
      </w:r>
      <w:r w:rsidR="00910C41" w:rsidRPr="00C42FA8">
        <w:rPr>
          <w:rFonts w:eastAsia="Times New Roman"/>
          <w:color w:val="212121"/>
          <w:lang w:val="en" w:eastAsia="es-MX"/>
        </w:rPr>
        <w:t xml:space="preserve"> </w:t>
      </w:r>
      <w:r w:rsidR="00347509" w:rsidRPr="00C42FA8">
        <w:rPr>
          <w:rFonts w:eastAsia="Times New Roman"/>
          <w:color w:val="212121"/>
          <w:lang w:val="en" w:eastAsia="es-MX"/>
        </w:rPr>
        <w:t>business</w:t>
      </w:r>
      <w:r w:rsidR="00347509">
        <w:rPr>
          <w:rFonts w:eastAsia="Times New Roman"/>
          <w:color w:val="212121"/>
          <w:lang w:val="en" w:eastAsia="es-MX"/>
        </w:rPr>
        <w:t xml:space="preserve"> management, </w:t>
      </w:r>
      <w:r w:rsidR="00347509" w:rsidRPr="00C42FA8">
        <w:rPr>
          <w:rFonts w:eastAsia="Times New Roman"/>
          <w:color w:val="212121"/>
          <w:lang w:val="en" w:eastAsia="es-MX"/>
        </w:rPr>
        <w:t>leadership</w:t>
      </w:r>
      <w:r w:rsidR="00347509">
        <w:rPr>
          <w:rFonts w:eastAsia="Times New Roman"/>
          <w:color w:val="212121"/>
          <w:lang w:val="en" w:eastAsia="es-MX"/>
        </w:rPr>
        <w:t>, s</w:t>
      </w:r>
      <w:r w:rsidR="006439CE">
        <w:rPr>
          <w:rFonts w:eastAsia="Times New Roman"/>
          <w:color w:val="212121"/>
          <w:lang w:val="en" w:eastAsia="es-MX"/>
        </w:rPr>
        <w:t>mall enterprises</w:t>
      </w:r>
      <w:r w:rsidR="00910C41" w:rsidRPr="00C42FA8">
        <w:rPr>
          <w:rFonts w:eastAsia="Times New Roman"/>
          <w:color w:val="212121"/>
          <w:lang w:val="en" w:eastAsia="es-MX"/>
        </w:rPr>
        <w:t>.</w:t>
      </w:r>
    </w:p>
    <w:p w14:paraId="09C28CCA" w14:textId="77777777" w:rsidR="002F7B6C" w:rsidRDefault="002F7B6C" w:rsidP="00910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olor w:val="212121"/>
          <w:lang w:val="en" w:eastAsia="es-MX"/>
        </w:rPr>
      </w:pPr>
    </w:p>
    <w:p w14:paraId="079FD3E3" w14:textId="77777777" w:rsidR="002F7B6C" w:rsidRPr="002F7B6C" w:rsidRDefault="002F7B6C" w:rsidP="00910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b/>
          <w:sz w:val="28"/>
          <w:lang w:val="en-US"/>
        </w:rPr>
      </w:pPr>
      <w:proofErr w:type="spellStart"/>
      <w:r w:rsidRPr="002F7B6C">
        <w:rPr>
          <w:rFonts w:ascii="Calibri" w:hAnsi="Calibri" w:cs="Calibri"/>
          <w:b/>
          <w:sz w:val="28"/>
          <w:lang w:val="en-US"/>
        </w:rPr>
        <w:t>Resumo</w:t>
      </w:r>
      <w:proofErr w:type="spellEnd"/>
    </w:p>
    <w:p w14:paraId="19906F47" w14:textId="77777777" w:rsidR="002F7B6C" w:rsidRPr="002F7B6C" w:rsidRDefault="002F7B6C" w:rsidP="002F7B6C">
      <w:pPr>
        <w:spacing w:after="0" w:line="360" w:lineRule="auto"/>
        <w:jc w:val="both"/>
        <w:rPr>
          <w:rFonts w:eastAsia="Times New Roman"/>
          <w:color w:val="212121"/>
          <w:lang w:val="en" w:eastAsia="es-MX"/>
        </w:rPr>
      </w:pPr>
      <w:r w:rsidRPr="002F7B6C">
        <w:rPr>
          <w:rFonts w:eastAsia="Times New Roman"/>
          <w:color w:val="212121"/>
          <w:lang w:val="en" w:eastAsia="es-MX"/>
        </w:rPr>
        <w:t xml:space="preserve">Este </w:t>
      </w:r>
      <w:proofErr w:type="spellStart"/>
      <w:r w:rsidRPr="002F7B6C">
        <w:rPr>
          <w:rFonts w:eastAsia="Times New Roman"/>
          <w:color w:val="212121"/>
          <w:lang w:val="en" w:eastAsia="es-MX"/>
        </w:rPr>
        <w:t>estudo</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examinou</w:t>
      </w:r>
      <w:proofErr w:type="spellEnd"/>
      <w:r w:rsidRPr="002F7B6C">
        <w:rPr>
          <w:rFonts w:eastAsia="Times New Roman"/>
          <w:color w:val="212121"/>
          <w:lang w:val="en" w:eastAsia="es-MX"/>
        </w:rPr>
        <w:t xml:space="preserve"> a </w:t>
      </w:r>
      <w:proofErr w:type="spellStart"/>
      <w:r w:rsidRPr="002F7B6C">
        <w:rPr>
          <w:rFonts w:eastAsia="Times New Roman"/>
          <w:color w:val="212121"/>
          <w:lang w:val="en" w:eastAsia="es-MX"/>
        </w:rPr>
        <w:t>correlação</w:t>
      </w:r>
      <w:proofErr w:type="spellEnd"/>
      <w:r w:rsidRPr="002F7B6C">
        <w:rPr>
          <w:rFonts w:eastAsia="Times New Roman"/>
          <w:color w:val="212121"/>
          <w:lang w:val="en" w:eastAsia="es-MX"/>
        </w:rPr>
        <w:t xml:space="preserve"> entre </w:t>
      </w:r>
      <w:proofErr w:type="spellStart"/>
      <w:r w:rsidRPr="002F7B6C">
        <w:rPr>
          <w:rFonts w:eastAsia="Times New Roman"/>
          <w:color w:val="212121"/>
          <w:lang w:val="en" w:eastAsia="es-MX"/>
        </w:rPr>
        <w:t>bem-estar</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psicológico</w:t>
      </w:r>
      <w:proofErr w:type="spellEnd"/>
      <w:r w:rsidRPr="002F7B6C">
        <w:rPr>
          <w:rFonts w:eastAsia="Times New Roman"/>
          <w:color w:val="212121"/>
          <w:lang w:val="en" w:eastAsia="es-MX"/>
        </w:rPr>
        <w:t xml:space="preserve"> no </w:t>
      </w:r>
      <w:proofErr w:type="spellStart"/>
      <w:r w:rsidRPr="002F7B6C">
        <w:rPr>
          <w:rFonts w:eastAsia="Times New Roman"/>
          <w:color w:val="212121"/>
          <w:lang w:val="en" w:eastAsia="es-MX"/>
        </w:rPr>
        <w:t>trabalho</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liderança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transformacional</w:t>
      </w:r>
      <w:proofErr w:type="spellEnd"/>
      <w:r w:rsidRPr="002F7B6C">
        <w:rPr>
          <w:rFonts w:eastAsia="Times New Roman"/>
          <w:color w:val="212121"/>
          <w:lang w:val="en" w:eastAsia="es-MX"/>
        </w:rPr>
        <w:t xml:space="preserve"> e </w:t>
      </w:r>
      <w:proofErr w:type="spellStart"/>
      <w:r w:rsidRPr="002F7B6C">
        <w:rPr>
          <w:rFonts w:eastAsia="Times New Roman"/>
          <w:color w:val="212121"/>
          <w:lang w:val="en" w:eastAsia="es-MX"/>
        </w:rPr>
        <w:t>confiança</w:t>
      </w:r>
      <w:proofErr w:type="spellEnd"/>
      <w:r w:rsidRPr="002F7B6C">
        <w:rPr>
          <w:rFonts w:eastAsia="Times New Roman"/>
          <w:color w:val="212121"/>
          <w:lang w:val="en" w:eastAsia="es-MX"/>
        </w:rPr>
        <w:t xml:space="preserve"> no </w:t>
      </w:r>
      <w:proofErr w:type="spellStart"/>
      <w:r w:rsidRPr="002F7B6C">
        <w:rPr>
          <w:rFonts w:eastAsia="Times New Roman"/>
          <w:color w:val="212121"/>
          <w:lang w:val="en" w:eastAsia="es-MX"/>
        </w:rPr>
        <w:t>líder</w:t>
      </w:r>
      <w:proofErr w:type="spellEnd"/>
      <w:r w:rsidRPr="002F7B6C">
        <w:rPr>
          <w:rFonts w:eastAsia="Times New Roman"/>
          <w:color w:val="212121"/>
          <w:lang w:val="en" w:eastAsia="es-MX"/>
        </w:rPr>
        <w:t xml:space="preserve"> de </w:t>
      </w:r>
      <w:proofErr w:type="spellStart"/>
      <w:r w:rsidRPr="002F7B6C">
        <w:rPr>
          <w:rFonts w:eastAsia="Times New Roman"/>
          <w:color w:val="212121"/>
          <w:lang w:val="en" w:eastAsia="es-MX"/>
        </w:rPr>
        <w:t>acordo</w:t>
      </w:r>
      <w:proofErr w:type="spellEnd"/>
      <w:r w:rsidRPr="002F7B6C">
        <w:rPr>
          <w:rFonts w:eastAsia="Times New Roman"/>
          <w:color w:val="212121"/>
          <w:lang w:val="en" w:eastAsia="es-MX"/>
        </w:rPr>
        <w:t xml:space="preserve"> com a </w:t>
      </w:r>
      <w:proofErr w:type="spellStart"/>
      <w:r w:rsidRPr="002F7B6C">
        <w:rPr>
          <w:rFonts w:eastAsia="Times New Roman"/>
          <w:color w:val="212121"/>
          <w:lang w:val="en" w:eastAsia="es-MX"/>
        </w:rPr>
        <w:t>percepção</w:t>
      </w:r>
      <w:proofErr w:type="spellEnd"/>
      <w:r w:rsidRPr="002F7B6C">
        <w:rPr>
          <w:rFonts w:eastAsia="Times New Roman"/>
          <w:color w:val="212121"/>
          <w:lang w:val="en" w:eastAsia="es-MX"/>
        </w:rPr>
        <w:t xml:space="preserve"> dos </w:t>
      </w:r>
      <w:proofErr w:type="spellStart"/>
      <w:r w:rsidRPr="002F7B6C">
        <w:rPr>
          <w:rFonts w:eastAsia="Times New Roman"/>
          <w:color w:val="212121"/>
          <w:lang w:val="en" w:eastAsia="es-MX"/>
        </w:rPr>
        <w:t>trabalhadores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em</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uma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pequena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indústria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localizada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na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cidade</w:t>
      </w:r>
      <w:proofErr w:type="spellEnd"/>
      <w:r w:rsidRPr="002F7B6C">
        <w:rPr>
          <w:rFonts w:eastAsia="Times New Roman"/>
          <w:color w:val="212121"/>
          <w:lang w:val="en" w:eastAsia="es-MX"/>
        </w:rPr>
        <w:t xml:space="preserve"> de Durango, </w:t>
      </w:r>
      <w:proofErr w:type="spellStart"/>
      <w:r w:rsidRPr="002F7B6C">
        <w:rPr>
          <w:rFonts w:eastAsia="Times New Roman"/>
          <w:color w:val="212121"/>
          <w:lang w:val="en" w:eastAsia="es-MX"/>
        </w:rPr>
        <w:t>estado</w:t>
      </w:r>
      <w:proofErr w:type="spellEnd"/>
      <w:r w:rsidRPr="002F7B6C">
        <w:rPr>
          <w:rFonts w:eastAsia="Times New Roman"/>
          <w:color w:val="212121"/>
          <w:lang w:val="en" w:eastAsia="es-MX"/>
        </w:rPr>
        <w:t xml:space="preserve"> de Durango, México. O </w:t>
      </w:r>
      <w:proofErr w:type="spellStart"/>
      <w:r w:rsidRPr="002F7B6C">
        <w:rPr>
          <w:rFonts w:eastAsia="Times New Roman"/>
          <w:color w:val="212121"/>
          <w:lang w:val="en" w:eastAsia="es-MX"/>
        </w:rPr>
        <w:t>objetivo</w:t>
      </w:r>
      <w:proofErr w:type="spellEnd"/>
      <w:r w:rsidRPr="002F7B6C">
        <w:rPr>
          <w:rFonts w:eastAsia="Times New Roman"/>
          <w:color w:val="212121"/>
          <w:lang w:val="en" w:eastAsia="es-MX"/>
        </w:rPr>
        <w:t xml:space="preserve"> da </w:t>
      </w:r>
      <w:proofErr w:type="spellStart"/>
      <w:r w:rsidRPr="002F7B6C">
        <w:rPr>
          <w:rFonts w:eastAsia="Times New Roman"/>
          <w:color w:val="212121"/>
          <w:lang w:val="en" w:eastAsia="es-MX"/>
        </w:rPr>
        <w:t>pesquisa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foi</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analisar</w:t>
      </w:r>
      <w:proofErr w:type="spellEnd"/>
      <w:r w:rsidRPr="002F7B6C">
        <w:rPr>
          <w:rFonts w:eastAsia="Times New Roman"/>
          <w:color w:val="212121"/>
          <w:lang w:val="en" w:eastAsia="es-MX"/>
        </w:rPr>
        <w:t xml:space="preserve"> as </w:t>
      </w:r>
      <w:proofErr w:type="spellStart"/>
      <w:r w:rsidRPr="002F7B6C">
        <w:rPr>
          <w:rFonts w:eastAsia="Times New Roman"/>
          <w:color w:val="212121"/>
          <w:lang w:val="en" w:eastAsia="es-MX"/>
        </w:rPr>
        <w:t>possíveis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relações</w:t>
      </w:r>
      <w:proofErr w:type="spellEnd"/>
      <w:r w:rsidRPr="002F7B6C">
        <w:rPr>
          <w:rFonts w:eastAsia="Times New Roman"/>
          <w:color w:val="212121"/>
          <w:lang w:val="en" w:eastAsia="es-MX"/>
        </w:rPr>
        <w:t xml:space="preserve"> entre as </w:t>
      </w:r>
      <w:proofErr w:type="spellStart"/>
      <w:r w:rsidRPr="002F7B6C">
        <w:rPr>
          <w:rFonts w:eastAsia="Times New Roman"/>
          <w:color w:val="212121"/>
          <w:lang w:val="en" w:eastAsia="es-MX"/>
        </w:rPr>
        <w:t>percepções</w:t>
      </w:r>
      <w:proofErr w:type="spellEnd"/>
      <w:r w:rsidRPr="002F7B6C">
        <w:rPr>
          <w:rFonts w:eastAsia="Times New Roman"/>
          <w:color w:val="212121"/>
          <w:lang w:val="en" w:eastAsia="es-MX"/>
        </w:rPr>
        <w:t xml:space="preserve"> dos </w:t>
      </w:r>
      <w:proofErr w:type="spellStart"/>
      <w:r w:rsidRPr="002F7B6C">
        <w:rPr>
          <w:rFonts w:eastAsia="Times New Roman"/>
          <w:color w:val="212121"/>
          <w:lang w:val="en" w:eastAsia="es-MX"/>
        </w:rPr>
        <w:t>trabalhadores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sobre</w:t>
      </w:r>
      <w:proofErr w:type="spellEnd"/>
      <w:r w:rsidRPr="002F7B6C">
        <w:rPr>
          <w:rFonts w:eastAsia="Times New Roman"/>
          <w:color w:val="212121"/>
          <w:lang w:val="en" w:eastAsia="es-MX"/>
        </w:rPr>
        <w:t xml:space="preserve"> o </w:t>
      </w:r>
      <w:proofErr w:type="spellStart"/>
      <w:r w:rsidRPr="002F7B6C">
        <w:rPr>
          <w:rFonts w:eastAsia="Times New Roman"/>
          <w:color w:val="212121"/>
          <w:lang w:val="en" w:eastAsia="es-MX"/>
        </w:rPr>
        <w:t>estilo</w:t>
      </w:r>
      <w:proofErr w:type="spellEnd"/>
      <w:r w:rsidRPr="002F7B6C">
        <w:rPr>
          <w:rFonts w:eastAsia="Times New Roman"/>
          <w:color w:val="212121"/>
          <w:lang w:val="en" w:eastAsia="es-MX"/>
        </w:rPr>
        <w:t xml:space="preserve"> de </w:t>
      </w:r>
      <w:proofErr w:type="spellStart"/>
      <w:r w:rsidRPr="002F7B6C">
        <w:rPr>
          <w:rFonts w:eastAsia="Times New Roman"/>
          <w:color w:val="212121"/>
          <w:lang w:val="en" w:eastAsia="es-MX"/>
        </w:rPr>
        <w:t>liderança</w:t>
      </w:r>
      <w:proofErr w:type="spellEnd"/>
      <w:r w:rsidRPr="002F7B6C">
        <w:rPr>
          <w:rFonts w:eastAsia="Times New Roman"/>
          <w:color w:val="212121"/>
          <w:lang w:val="en" w:eastAsia="es-MX"/>
        </w:rPr>
        <w:t xml:space="preserve"> e </w:t>
      </w:r>
      <w:proofErr w:type="spellStart"/>
      <w:r w:rsidRPr="002F7B6C">
        <w:rPr>
          <w:rFonts w:eastAsia="Times New Roman"/>
          <w:color w:val="212121"/>
          <w:lang w:val="en" w:eastAsia="es-MX"/>
        </w:rPr>
        <w:t>seu</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bem-estar</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psicológico</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bem</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como</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verificar</w:t>
      </w:r>
      <w:proofErr w:type="spellEnd"/>
      <w:r w:rsidRPr="002F7B6C">
        <w:rPr>
          <w:rFonts w:eastAsia="Times New Roman"/>
          <w:color w:val="212121"/>
          <w:lang w:val="en" w:eastAsia="es-MX"/>
        </w:rPr>
        <w:t xml:space="preserve"> o </w:t>
      </w:r>
      <w:proofErr w:type="spellStart"/>
      <w:r w:rsidRPr="002F7B6C">
        <w:rPr>
          <w:rFonts w:eastAsia="Times New Roman"/>
          <w:color w:val="212121"/>
          <w:lang w:val="en" w:eastAsia="es-MX"/>
        </w:rPr>
        <w:t>papel</w:t>
      </w:r>
      <w:proofErr w:type="spellEnd"/>
      <w:r w:rsidRPr="002F7B6C">
        <w:rPr>
          <w:rFonts w:eastAsia="Times New Roman"/>
          <w:color w:val="212121"/>
          <w:lang w:val="en" w:eastAsia="es-MX"/>
        </w:rPr>
        <w:t xml:space="preserve"> da </w:t>
      </w:r>
      <w:proofErr w:type="spellStart"/>
      <w:r w:rsidRPr="002F7B6C">
        <w:rPr>
          <w:rFonts w:eastAsia="Times New Roman"/>
          <w:color w:val="212121"/>
          <w:lang w:val="en" w:eastAsia="es-MX"/>
        </w:rPr>
        <w:t>confiança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nessas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relações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Foi</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realizado</w:t>
      </w:r>
      <w:proofErr w:type="spellEnd"/>
      <w:r w:rsidRPr="002F7B6C">
        <w:rPr>
          <w:rFonts w:eastAsia="Times New Roman"/>
          <w:color w:val="212121"/>
          <w:lang w:val="en" w:eastAsia="es-MX"/>
        </w:rPr>
        <w:t xml:space="preserve"> um </w:t>
      </w:r>
      <w:proofErr w:type="spellStart"/>
      <w:r w:rsidRPr="002F7B6C">
        <w:rPr>
          <w:rFonts w:eastAsia="Times New Roman"/>
          <w:color w:val="212121"/>
          <w:lang w:val="en" w:eastAsia="es-MX"/>
        </w:rPr>
        <w:t>estudo</w:t>
      </w:r>
      <w:proofErr w:type="spellEnd"/>
      <w:r w:rsidRPr="002F7B6C">
        <w:rPr>
          <w:rFonts w:eastAsia="Times New Roman"/>
          <w:color w:val="212121"/>
          <w:lang w:val="en" w:eastAsia="es-MX"/>
        </w:rPr>
        <w:t xml:space="preserve"> de </w:t>
      </w:r>
      <w:proofErr w:type="spellStart"/>
      <w:r w:rsidRPr="002F7B6C">
        <w:rPr>
          <w:rFonts w:eastAsia="Times New Roman"/>
          <w:color w:val="212121"/>
          <w:lang w:val="en" w:eastAsia="es-MX"/>
        </w:rPr>
        <w:t>caso</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quantitativo</w:t>
      </w:r>
      <w:proofErr w:type="spellEnd"/>
      <w:r w:rsidRPr="002F7B6C">
        <w:rPr>
          <w:rFonts w:eastAsia="Times New Roman"/>
          <w:color w:val="212121"/>
          <w:lang w:val="en" w:eastAsia="es-MX"/>
        </w:rPr>
        <w:t xml:space="preserve"> e transversal. </w:t>
      </w:r>
      <w:proofErr w:type="spellStart"/>
      <w:r w:rsidRPr="002F7B6C">
        <w:rPr>
          <w:rFonts w:eastAsia="Times New Roman"/>
          <w:color w:val="212121"/>
          <w:lang w:val="en" w:eastAsia="es-MX"/>
        </w:rPr>
        <w:t>Especificamente</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foi</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realizado</w:t>
      </w:r>
      <w:proofErr w:type="spellEnd"/>
      <w:r w:rsidRPr="002F7B6C">
        <w:rPr>
          <w:rFonts w:eastAsia="Times New Roman"/>
          <w:color w:val="212121"/>
          <w:lang w:val="en" w:eastAsia="es-MX"/>
        </w:rPr>
        <w:t xml:space="preserve"> um </w:t>
      </w:r>
      <w:proofErr w:type="spellStart"/>
      <w:r w:rsidRPr="002F7B6C">
        <w:rPr>
          <w:rFonts w:eastAsia="Times New Roman"/>
          <w:color w:val="212121"/>
          <w:lang w:val="en" w:eastAsia="es-MX"/>
        </w:rPr>
        <w:t>censo</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em</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uma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população</w:t>
      </w:r>
      <w:proofErr w:type="spellEnd"/>
      <w:r w:rsidRPr="002F7B6C">
        <w:rPr>
          <w:rFonts w:eastAsia="Times New Roman"/>
          <w:color w:val="212121"/>
          <w:lang w:val="en" w:eastAsia="es-MX"/>
        </w:rPr>
        <w:t xml:space="preserve"> de 23 </w:t>
      </w:r>
      <w:proofErr w:type="spellStart"/>
      <w:r w:rsidRPr="002F7B6C">
        <w:rPr>
          <w:rFonts w:eastAsia="Times New Roman"/>
          <w:color w:val="212121"/>
          <w:lang w:val="en" w:eastAsia="es-MX"/>
        </w:rPr>
        <w:t>trabalhadores</w:t>
      </w:r>
      <w:proofErr w:type="spellEnd"/>
      <w:r w:rsidRPr="002F7B6C">
        <w:rPr>
          <w:rFonts w:eastAsia="Times New Roman"/>
          <w:color w:val="212121"/>
          <w:lang w:val="en" w:eastAsia="es-MX"/>
        </w:rPr>
        <w:t xml:space="preserve">. A </w:t>
      </w:r>
      <w:proofErr w:type="spellStart"/>
      <w:r w:rsidRPr="002F7B6C">
        <w:rPr>
          <w:rFonts w:eastAsia="Times New Roman"/>
          <w:color w:val="212121"/>
          <w:lang w:val="en" w:eastAsia="es-MX"/>
        </w:rPr>
        <w:t>análise</w:t>
      </w:r>
      <w:proofErr w:type="spellEnd"/>
      <w:r w:rsidRPr="002F7B6C">
        <w:rPr>
          <w:rFonts w:eastAsia="Times New Roman"/>
          <w:color w:val="212121"/>
          <w:lang w:val="en" w:eastAsia="es-MX"/>
        </w:rPr>
        <w:t xml:space="preserve"> de </w:t>
      </w:r>
      <w:proofErr w:type="spellStart"/>
      <w:r w:rsidRPr="002F7B6C">
        <w:rPr>
          <w:rFonts w:eastAsia="Times New Roman"/>
          <w:color w:val="212121"/>
          <w:lang w:val="en" w:eastAsia="es-MX"/>
        </w:rPr>
        <w:t>correlação</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mostrou</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associações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importantes</w:t>
      </w:r>
      <w:proofErr w:type="spellEnd"/>
      <w:r w:rsidRPr="002F7B6C">
        <w:rPr>
          <w:rFonts w:eastAsia="Times New Roman"/>
          <w:color w:val="212121"/>
          <w:lang w:val="en" w:eastAsia="es-MX"/>
        </w:rPr>
        <w:t xml:space="preserve"> entre </w:t>
      </w:r>
      <w:proofErr w:type="spellStart"/>
      <w:r w:rsidRPr="002F7B6C">
        <w:rPr>
          <w:rFonts w:eastAsia="Times New Roman"/>
          <w:color w:val="212121"/>
          <w:lang w:val="en" w:eastAsia="es-MX"/>
        </w:rPr>
        <w:t>liderança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transformadora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consideração</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individualizada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motivação</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inspiradora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influência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idealizada</w:t>
      </w:r>
      <w:proofErr w:type="spellEnd"/>
      <w:r w:rsidRPr="002F7B6C">
        <w:rPr>
          <w:rFonts w:eastAsia="Times New Roman"/>
          <w:color w:val="212121"/>
          <w:lang w:val="en" w:eastAsia="es-MX"/>
        </w:rPr>
        <w:t xml:space="preserve"> e </w:t>
      </w:r>
      <w:proofErr w:type="spellStart"/>
      <w:r w:rsidRPr="002F7B6C">
        <w:rPr>
          <w:rFonts w:eastAsia="Times New Roman"/>
          <w:color w:val="212121"/>
          <w:lang w:val="en" w:eastAsia="es-MX"/>
        </w:rPr>
        <w:t>estímulo</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intelectual</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confiança</w:t>
      </w:r>
      <w:proofErr w:type="spellEnd"/>
      <w:r w:rsidRPr="002F7B6C">
        <w:rPr>
          <w:rFonts w:eastAsia="Times New Roman"/>
          <w:color w:val="212121"/>
          <w:lang w:val="en" w:eastAsia="es-MX"/>
        </w:rPr>
        <w:t xml:space="preserve"> no </w:t>
      </w:r>
      <w:proofErr w:type="spellStart"/>
      <w:r w:rsidRPr="002F7B6C">
        <w:rPr>
          <w:rFonts w:eastAsia="Times New Roman"/>
          <w:color w:val="212121"/>
          <w:lang w:val="en" w:eastAsia="es-MX"/>
        </w:rPr>
        <w:t>gerente</w:t>
      </w:r>
      <w:proofErr w:type="spellEnd"/>
      <w:r w:rsidRPr="002F7B6C">
        <w:rPr>
          <w:rFonts w:eastAsia="Times New Roman"/>
          <w:color w:val="212121"/>
          <w:lang w:val="en" w:eastAsia="es-MX"/>
        </w:rPr>
        <w:t xml:space="preserve"> e </w:t>
      </w:r>
      <w:proofErr w:type="spellStart"/>
      <w:r w:rsidRPr="002F7B6C">
        <w:rPr>
          <w:rFonts w:eastAsia="Times New Roman"/>
          <w:color w:val="212121"/>
          <w:lang w:val="en" w:eastAsia="es-MX"/>
        </w:rPr>
        <w:t>bem-estar</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psicológico</w:t>
      </w:r>
      <w:proofErr w:type="spellEnd"/>
      <w:r w:rsidRPr="002F7B6C">
        <w:rPr>
          <w:rFonts w:eastAsia="Times New Roman"/>
          <w:color w:val="212121"/>
          <w:lang w:val="en" w:eastAsia="es-MX"/>
        </w:rPr>
        <w:t xml:space="preserve"> no </w:t>
      </w:r>
      <w:proofErr w:type="spellStart"/>
      <w:r w:rsidRPr="002F7B6C">
        <w:rPr>
          <w:rFonts w:eastAsia="Times New Roman"/>
          <w:color w:val="212121"/>
          <w:lang w:val="en" w:eastAsia="es-MX"/>
        </w:rPr>
        <w:t>trabalho</w:t>
      </w:r>
      <w:proofErr w:type="spellEnd"/>
      <w:r w:rsidRPr="002F7B6C">
        <w:rPr>
          <w:rFonts w:eastAsia="Times New Roman"/>
          <w:color w:val="212121"/>
          <w:lang w:val="en" w:eastAsia="es-MX"/>
        </w:rPr>
        <w:t xml:space="preserve">. Do </w:t>
      </w:r>
      <w:proofErr w:type="spellStart"/>
      <w:r w:rsidRPr="002F7B6C">
        <w:rPr>
          <w:rFonts w:eastAsia="Times New Roman"/>
          <w:color w:val="212121"/>
          <w:lang w:val="en" w:eastAsia="es-MX"/>
        </w:rPr>
        <w:t>ponto</w:t>
      </w:r>
      <w:proofErr w:type="spellEnd"/>
      <w:r w:rsidRPr="002F7B6C">
        <w:rPr>
          <w:rFonts w:eastAsia="Times New Roman"/>
          <w:color w:val="212121"/>
          <w:lang w:val="en" w:eastAsia="es-MX"/>
        </w:rPr>
        <w:t xml:space="preserve"> de vista </w:t>
      </w:r>
      <w:proofErr w:type="spellStart"/>
      <w:r w:rsidRPr="002F7B6C">
        <w:rPr>
          <w:rFonts w:eastAsia="Times New Roman"/>
          <w:color w:val="212121"/>
          <w:lang w:val="en" w:eastAsia="es-MX"/>
        </w:rPr>
        <w:t>prático</w:t>
      </w:r>
      <w:proofErr w:type="spellEnd"/>
      <w:r w:rsidRPr="002F7B6C">
        <w:rPr>
          <w:rFonts w:eastAsia="Times New Roman"/>
          <w:color w:val="212121"/>
          <w:lang w:val="en" w:eastAsia="es-MX"/>
        </w:rPr>
        <w:t xml:space="preserve">, as </w:t>
      </w:r>
      <w:proofErr w:type="spellStart"/>
      <w:r w:rsidRPr="002F7B6C">
        <w:rPr>
          <w:rFonts w:eastAsia="Times New Roman"/>
          <w:color w:val="212121"/>
          <w:lang w:val="en" w:eastAsia="es-MX"/>
        </w:rPr>
        <w:t>contribuições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científicas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fornecem</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uma</w:t>
      </w:r>
      <w:proofErr w:type="spellEnd"/>
      <w:r w:rsidRPr="002F7B6C">
        <w:rPr>
          <w:rFonts w:eastAsia="Times New Roman"/>
          <w:color w:val="212121"/>
          <w:lang w:val="en" w:eastAsia="es-MX"/>
        </w:rPr>
        <w:t xml:space="preserve"> ferramenta </w:t>
      </w:r>
      <w:proofErr w:type="spellStart"/>
      <w:r w:rsidRPr="002F7B6C">
        <w:rPr>
          <w:rFonts w:eastAsia="Times New Roman"/>
          <w:color w:val="212121"/>
          <w:lang w:val="en" w:eastAsia="es-MX"/>
        </w:rPr>
        <w:t>potencial</w:t>
      </w:r>
      <w:proofErr w:type="spellEnd"/>
      <w:r w:rsidRPr="002F7B6C">
        <w:rPr>
          <w:rFonts w:eastAsia="Times New Roman"/>
          <w:color w:val="212121"/>
          <w:lang w:val="en" w:eastAsia="es-MX"/>
        </w:rPr>
        <w:t xml:space="preserve"> para o </w:t>
      </w:r>
      <w:proofErr w:type="spellStart"/>
      <w:r w:rsidRPr="002F7B6C">
        <w:rPr>
          <w:rFonts w:eastAsia="Times New Roman"/>
          <w:color w:val="212121"/>
          <w:lang w:val="en" w:eastAsia="es-MX"/>
        </w:rPr>
        <w:t>diagnóstico</w:t>
      </w:r>
      <w:proofErr w:type="spellEnd"/>
      <w:r w:rsidRPr="002F7B6C">
        <w:rPr>
          <w:rFonts w:eastAsia="Times New Roman"/>
          <w:color w:val="212121"/>
          <w:lang w:val="en" w:eastAsia="es-MX"/>
        </w:rPr>
        <w:t xml:space="preserve"> do </w:t>
      </w:r>
      <w:proofErr w:type="spellStart"/>
      <w:r w:rsidRPr="002F7B6C">
        <w:rPr>
          <w:rFonts w:eastAsia="Times New Roman"/>
          <w:color w:val="212121"/>
          <w:lang w:val="en" w:eastAsia="es-MX"/>
        </w:rPr>
        <w:t>bem-estar</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psicológico</w:t>
      </w:r>
      <w:proofErr w:type="spellEnd"/>
      <w:r w:rsidRPr="002F7B6C">
        <w:rPr>
          <w:rFonts w:eastAsia="Times New Roman"/>
          <w:color w:val="212121"/>
          <w:lang w:val="en" w:eastAsia="es-MX"/>
        </w:rPr>
        <w:t xml:space="preserve"> no </w:t>
      </w:r>
      <w:proofErr w:type="spellStart"/>
      <w:r w:rsidRPr="002F7B6C">
        <w:rPr>
          <w:rFonts w:eastAsia="Times New Roman"/>
          <w:color w:val="212121"/>
          <w:lang w:val="en" w:eastAsia="es-MX"/>
        </w:rPr>
        <w:t>trabalho</w:t>
      </w:r>
      <w:proofErr w:type="spellEnd"/>
      <w:r w:rsidRPr="002F7B6C">
        <w:rPr>
          <w:rFonts w:eastAsia="Times New Roman"/>
          <w:color w:val="212121"/>
          <w:lang w:val="en" w:eastAsia="es-MX"/>
        </w:rPr>
        <w:t xml:space="preserve">, com um rigor </w:t>
      </w:r>
      <w:proofErr w:type="spellStart"/>
      <w:r w:rsidRPr="002F7B6C">
        <w:rPr>
          <w:rFonts w:eastAsia="Times New Roman"/>
          <w:color w:val="212121"/>
          <w:lang w:val="en" w:eastAsia="es-MX"/>
        </w:rPr>
        <w:t>metodológico</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nas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métricas</w:t>
      </w:r>
      <w:proofErr w:type="spellEnd"/>
      <w:r w:rsidRPr="002F7B6C">
        <w:rPr>
          <w:rFonts w:eastAsia="Times New Roman"/>
          <w:color w:val="212121"/>
          <w:lang w:val="en" w:eastAsia="es-MX"/>
        </w:rPr>
        <w:t xml:space="preserve">, o que </w:t>
      </w:r>
      <w:proofErr w:type="spellStart"/>
      <w:r w:rsidRPr="002F7B6C">
        <w:rPr>
          <w:rFonts w:eastAsia="Times New Roman"/>
          <w:color w:val="212121"/>
          <w:lang w:val="en" w:eastAsia="es-MX"/>
        </w:rPr>
        <w:t>nos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permite</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entender</w:t>
      </w:r>
      <w:proofErr w:type="spellEnd"/>
      <w:r w:rsidRPr="002F7B6C">
        <w:rPr>
          <w:rFonts w:eastAsia="Times New Roman"/>
          <w:color w:val="212121"/>
          <w:lang w:val="en" w:eastAsia="es-MX"/>
        </w:rPr>
        <w:t xml:space="preserve"> as </w:t>
      </w:r>
      <w:proofErr w:type="spellStart"/>
      <w:r w:rsidRPr="002F7B6C">
        <w:rPr>
          <w:rFonts w:eastAsia="Times New Roman"/>
          <w:color w:val="212121"/>
          <w:lang w:val="en" w:eastAsia="es-MX"/>
        </w:rPr>
        <w:t>noções</w:t>
      </w:r>
      <w:proofErr w:type="spellEnd"/>
      <w:r w:rsidRPr="002F7B6C">
        <w:rPr>
          <w:rFonts w:eastAsia="Times New Roman"/>
          <w:color w:val="212121"/>
          <w:lang w:val="en" w:eastAsia="es-MX"/>
        </w:rPr>
        <w:t xml:space="preserve"> de </w:t>
      </w:r>
      <w:proofErr w:type="spellStart"/>
      <w:r w:rsidRPr="002F7B6C">
        <w:rPr>
          <w:rFonts w:eastAsia="Times New Roman"/>
          <w:color w:val="212121"/>
          <w:lang w:val="en" w:eastAsia="es-MX"/>
        </w:rPr>
        <w:t>bem-estar</w:t>
      </w:r>
      <w:proofErr w:type="spellEnd"/>
      <w:r w:rsidRPr="002F7B6C">
        <w:rPr>
          <w:rFonts w:eastAsia="Times New Roman"/>
          <w:color w:val="212121"/>
          <w:lang w:val="en" w:eastAsia="es-MX"/>
        </w:rPr>
        <w:t xml:space="preserve"> e </w:t>
      </w:r>
      <w:proofErr w:type="spellStart"/>
      <w:r w:rsidRPr="002F7B6C">
        <w:rPr>
          <w:rFonts w:eastAsia="Times New Roman"/>
          <w:color w:val="212121"/>
          <w:lang w:val="en" w:eastAsia="es-MX"/>
        </w:rPr>
        <w:t>liderança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bem</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como</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propor</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estratégias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organizacionais</w:t>
      </w:r>
      <w:proofErr w:type="spellEnd"/>
      <w:r w:rsidRPr="002F7B6C">
        <w:rPr>
          <w:rFonts w:eastAsia="Times New Roman"/>
          <w:color w:val="212121"/>
          <w:lang w:val="en" w:eastAsia="es-MX"/>
        </w:rPr>
        <w:t xml:space="preserve"> para o </w:t>
      </w:r>
      <w:proofErr w:type="spellStart"/>
      <w:r w:rsidRPr="002F7B6C">
        <w:rPr>
          <w:rFonts w:eastAsia="Times New Roman"/>
          <w:color w:val="212121"/>
          <w:lang w:val="en" w:eastAsia="es-MX"/>
        </w:rPr>
        <w:t>mipes</w:t>
      </w:r>
      <w:proofErr w:type="spellEnd"/>
      <w:r w:rsidRPr="002F7B6C">
        <w:rPr>
          <w:rFonts w:eastAsia="Times New Roman"/>
          <w:color w:val="212121"/>
          <w:lang w:val="en" w:eastAsia="es-MX"/>
        </w:rPr>
        <w:t>.</w:t>
      </w:r>
    </w:p>
    <w:p w14:paraId="5509B907" w14:textId="77777777" w:rsidR="002D2076" w:rsidRDefault="002F7B6C" w:rsidP="002F7B6C">
      <w:pPr>
        <w:rPr>
          <w:rFonts w:eastAsia="Times New Roman"/>
          <w:color w:val="212121"/>
          <w:lang w:val="en" w:eastAsia="es-MX"/>
        </w:rPr>
      </w:pPr>
      <w:proofErr w:type="spellStart"/>
      <w:r w:rsidRPr="002F7B6C">
        <w:rPr>
          <w:rFonts w:ascii="Calibri" w:hAnsi="Calibri" w:cs="Calibri"/>
          <w:b/>
          <w:sz w:val="28"/>
          <w:lang w:val="en-US"/>
        </w:rPr>
        <w:t>Palavras-chave</w:t>
      </w:r>
      <w:proofErr w:type="spellEnd"/>
      <w:r w:rsidRPr="002F7B6C">
        <w:rPr>
          <w:rFonts w:ascii="Calibri" w:hAnsi="Calibri" w:cs="Calibri"/>
          <w:b/>
          <w:sz w:val="28"/>
          <w:lang w:val="en-US"/>
        </w:rPr>
        <w:t>:</w:t>
      </w:r>
      <w:r w:rsidRPr="002F7B6C">
        <w:rPr>
          <w:rFonts w:eastAsia="Times New Roman"/>
          <w:color w:val="212121"/>
          <w:lang w:val="en" w:eastAsia="es-MX"/>
        </w:rPr>
        <w:t xml:space="preserve"> </w:t>
      </w:r>
      <w:proofErr w:type="spellStart"/>
      <w:r w:rsidRPr="002F7B6C">
        <w:rPr>
          <w:rFonts w:eastAsia="Times New Roman"/>
          <w:color w:val="212121"/>
          <w:lang w:val="en" w:eastAsia="es-MX"/>
        </w:rPr>
        <w:t>gestão</w:t>
      </w:r>
      <w:proofErr w:type="spellEnd"/>
      <w:r w:rsidRPr="002F7B6C">
        <w:rPr>
          <w:rFonts w:eastAsia="Times New Roman"/>
          <w:color w:val="212121"/>
          <w:lang w:val="en" w:eastAsia="es-MX"/>
        </w:rPr>
        <w:t xml:space="preserve"> de </w:t>
      </w:r>
      <w:proofErr w:type="spellStart"/>
      <w:r w:rsidRPr="002F7B6C">
        <w:rPr>
          <w:rFonts w:eastAsia="Times New Roman"/>
          <w:color w:val="212121"/>
          <w:lang w:val="en" w:eastAsia="es-MX"/>
        </w:rPr>
        <w:t>negócios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liderança</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pequenas</w:t>
      </w:r>
      <w:proofErr w:type="spellEnd"/>
      <w:r w:rsidRPr="002F7B6C">
        <w:rPr>
          <w:rFonts w:eastAsia="Times New Roman"/>
          <w:color w:val="212121"/>
          <w:lang w:val="en" w:eastAsia="es-MX"/>
        </w:rPr>
        <w:t xml:space="preserve"> </w:t>
      </w:r>
      <w:proofErr w:type="spellStart"/>
      <w:r w:rsidRPr="002F7B6C">
        <w:rPr>
          <w:rFonts w:eastAsia="Times New Roman"/>
          <w:color w:val="212121"/>
          <w:lang w:val="en" w:eastAsia="es-MX"/>
        </w:rPr>
        <w:t>empresas</w:t>
      </w:r>
      <w:proofErr w:type="spellEnd"/>
      <w:r w:rsidRPr="002F7B6C">
        <w:rPr>
          <w:rFonts w:eastAsia="Times New Roman"/>
          <w:color w:val="212121"/>
          <w:lang w:val="en" w:eastAsia="es-MX"/>
        </w:rPr>
        <w:t>.</w:t>
      </w:r>
    </w:p>
    <w:p w14:paraId="710C3142" w14:textId="77777777" w:rsidR="002F7B6C" w:rsidRPr="00883030" w:rsidRDefault="002F7B6C" w:rsidP="002F7B6C">
      <w:pPr>
        <w:spacing w:before="120" w:after="240" w:line="360" w:lineRule="auto"/>
        <w:jc w:val="both"/>
      </w:pPr>
      <w:r w:rsidRPr="00883030">
        <w:rPr>
          <w:b/>
          <w:color w:val="000000"/>
        </w:rPr>
        <w:t>Fecha Recepción:</w:t>
      </w:r>
      <w:r>
        <w:rPr>
          <w:color w:val="000000"/>
        </w:rPr>
        <w:t xml:space="preserve"> Diciembre 2018</w:t>
      </w:r>
      <w:r w:rsidRPr="00883030">
        <w:rPr>
          <w:color w:val="000000"/>
        </w:rPr>
        <w:t xml:space="preserve">     </w:t>
      </w:r>
      <w:r w:rsidRPr="00883030">
        <w:rPr>
          <w:b/>
          <w:color w:val="000000"/>
        </w:rPr>
        <w:t>Fecha Aceptación:</w:t>
      </w:r>
      <w:r w:rsidRPr="00883030">
        <w:rPr>
          <w:color w:val="000000"/>
        </w:rPr>
        <w:t xml:space="preserve"> </w:t>
      </w:r>
      <w:r>
        <w:rPr>
          <w:color w:val="000000"/>
        </w:rPr>
        <w:t>Mayo 2019</w:t>
      </w:r>
      <w:r w:rsidRPr="00883030">
        <w:rPr>
          <w:color w:val="000000"/>
        </w:rPr>
        <w:br/>
      </w:r>
      <w:r w:rsidR="00717907">
        <w:rPr>
          <w:noProof/>
        </w:rPr>
        <w:pict w14:anchorId="7949E9EE">
          <v:rect id="_x0000_i1025" alt="" style="width:441.9pt;height:.05pt;mso-width-percent:0;mso-height-percent:0;mso-width-percent:0;mso-height-percent:0" o:hralign="center" o:hrstd="t" o:hr="t" fillcolor="#a0a0a0" stroked="f"/>
        </w:pict>
      </w:r>
    </w:p>
    <w:p w14:paraId="7BCAAA82" w14:textId="77777777" w:rsidR="005E7C0B" w:rsidRPr="002F7B6C" w:rsidRDefault="005E7C0B" w:rsidP="002F7B6C">
      <w:pPr>
        <w:pStyle w:val="Ttulo1"/>
        <w:jc w:val="center"/>
        <w:rPr>
          <w:rFonts w:eastAsia="Times New Roman"/>
          <w:bCs w:val="0"/>
          <w:color w:val="auto"/>
          <w:lang w:eastAsia="es-MX" w:bidi="es-MX"/>
        </w:rPr>
      </w:pPr>
      <w:r w:rsidRPr="002F7B6C">
        <w:rPr>
          <w:rFonts w:eastAsia="Times New Roman"/>
          <w:bCs w:val="0"/>
          <w:color w:val="auto"/>
          <w:lang w:eastAsia="es-MX" w:bidi="es-MX"/>
        </w:rPr>
        <w:t>Introducción</w:t>
      </w:r>
    </w:p>
    <w:p w14:paraId="28FC2F0B" w14:textId="77777777" w:rsidR="005E7C0B" w:rsidRPr="00C42FA8" w:rsidRDefault="005E7C0B" w:rsidP="007C20DD">
      <w:pPr>
        <w:spacing w:after="0" w:line="360" w:lineRule="auto"/>
        <w:ind w:firstLine="708"/>
        <w:jc w:val="both"/>
      </w:pPr>
      <w:r w:rsidRPr="00C42FA8">
        <w:t>Las micro, pequeñas y medianas empresas (</w:t>
      </w:r>
      <w:r w:rsidR="00347509" w:rsidRPr="00C42FA8">
        <w:t>mipymes</w:t>
      </w:r>
      <w:r w:rsidRPr="00C42FA8">
        <w:t xml:space="preserve">) registran una tendencia de crecimiento mundial, de tal modo que en Latinoamérica y México se han convertido en los últimos decenios en </w:t>
      </w:r>
      <w:r w:rsidR="00347509">
        <w:t xml:space="preserve">un </w:t>
      </w:r>
      <w:r w:rsidRPr="00C42FA8">
        <w:t>importante motor de la economía</w:t>
      </w:r>
      <w:r w:rsidR="00B360B3">
        <w:t xml:space="preserve"> que genera </w:t>
      </w:r>
      <w:r w:rsidRPr="00C42FA8">
        <w:t>de manera significativa empleo y autoempleo.</w:t>
      </w:r>
      <w:r w:rsidR="007C20DD">
        <w:t xml:space="preserve"> </w:t>
      </w:r>
      <w:r w:rsidRPr="00C42FA8">
        <w:t xml:space="preserve">De acuerdo con Sansores y Navarrete (2018), en el mundo </w:t>
      </w:r>
      <w:r w:rsidR="00B360B3">
        <w:t>estas constituyen</w:t>
      </w:r>
      <w:r w:rsidRPr="00C42FA8">
        <w:t xml:space="preserve"> más de 95</w:t>
      </w:r>
      <w:r w:rsidR="00B360B3">
        <w:t> </w:t>
      </w:r>
      <w:r w:rsidRPr="00C42FA8">
        <w:t>% de las unidades económicas</w:t>
      </w:r>
      <w:r w:rsidR="00B360B3">
        <w:t>, porcentaje que</w:t>
      </w:r>
      <w:r w:rsidRPr="00C42FA8">
        <w:t xml:space="preserve"> en Latinoamérica </w:t>
      </w:r>
      <w:r w:rsidR="00B360B3">
        <w:t xml:space="preserve">aumenta </w:t>
      </w:r>
      <w:r w:rsidRPr="00C42FA8">
        <w:t>hasta 99</w:t>
      </w:r>
      <w:r w:rsidR="00B360B3">
        <w:t> </w:t>
      </w:r>
      <w:r w:rsidR="00A02DD8">
        <w:t>%,</w:t>
      </w:r>
      <w:r w:rsidRPr="00C42FA8">
        <w:t xml:space="preserve"> </w:t>
      </w:r>
      <w:r w:rsidR="00A02DD8">
        <w:t>y e</w:t>
      </w:r>
      <w:r w:rsidRPr="00C42FA8">
        <w:t>n ambos casos emplean a más de 60</w:t>
      </w:r>
      <w:r w:rsidR="00B360B3">
        <w:t> </w:t>
      </w:r>
      <w:r w:rsidRPr="00C42FA8">
        <w:t>% del total de trabajadores.</w:t>
      </w:r>
    </w:p>
    <w:p w14:paraId="6DA58F89" w14:textId="77777777" w:rsidR="00B360B3" w:rsidRDefault="00B360B3" w:rsidP="007E4B66">
      <w:pPr>
        <w:spacing w:after="0" w:line="360" w:lineRule="auto"/>
        <w:ind w:firstLine="709"/>
        <w:jc w:val="both"/>
      </w:pPr>
      <w:r>
        <w:t xml:space="preserve">Aun así, la presente </w:t>
      </w:r>
      <w:r w:rsidR="005E7C0B" w:rsidRPr="00C42FA8">
        <w:t xml:space="preserve">investigación </w:t>
      </w:r>
      <w:r>
        <w:t xml:space="preserve">solo </w:t>
      </w:r>
      <w:r w:rsidR="005E7C0B" w:rsidRPr="00C42FA8">
        <w:t>se centra en el análisis de las micro y pequeñas empresas (</w:t>
      </w:r>
      <w:r w:rsidRPr="00C42FA8">
        <w:t>mypes</w:t>
      </w:r>
      <w:r w:rsidR="005E7C0B" w:rsidRPr="00C42FA8">
        <w:t xml:space="preserve">), </w:t>
      </w:r>
      <w:r>
        <w:t xml:space="preserve">ya que </w:t>
      </w:r>
      <w:r w:rsidR="005E7C0B" w:rsidRPr="00C42FA8">
        <w:t>las medianas cuentan con estructuras más definidas en sus procesos y mecanismos de funcionamiento, lo cual las acerca más a las grandes</w:t>
      </w:r>
      <w:r w:rsidR="007E4B66" w:rsidRPr="00C42FA8">
        <w:t xml:space="preserve"> empresas</w:t>
      </w:r>
      <w:r w:rsidR="005E7C0B" w:rsidRPr="00C42FA8">
        <w:t xml:space="preserve"> </w:t>
      </w:r>
      <w:r w:rsidR="005E7C0B" w:rsidRPr="00C42FA8">
        <w:lastRenderedPageBreak/>
        <w:t>(Posada, Aguilar y Peña, 2016).</w:t>
      </w:r>
      <w:r>
        <w:t xml:space="preserve"> En concreto,</w:t>
      </w:r>
      <w:r w:rsidR="000B5643" w:rsidRPr="00C42FA8">
        <w:t xml:space="preserve"> </w:t>
      </w:r>
      <w:r>
        <w:t xml:space="preserve">el enfoque se fija en </w:t>
      </w:r>
      <w:r w:rsidR="00587C96" w:rsidRPr="00C42FA8">
        <w:t>el estudio</w:t>
      </w:r>
      <w:r w:rsidR="000B5643" w:rsidRPr="00C42FA8">
        <w:t xml:space="preserve"> de caso de una pequeña empresa industrial</w:t>
      </w:r>
      <w:r w:rsidR="00587C96" w:rsidRPr="00C42FA8">
        <w:t xml:space="preserve"> (</w:t>
      </w:r>
      <w:r>
        <w:t xml:space="preserve">que </w:t>
      </w:r>
      <w:r w:rsidR="00587C96" w:rsidRPr="00C42FA8">
        <w:t>cuenta con 26 trabajadores</w:t>
      </w:r>
      <w:r>
        <w:t>,</w:t>
      </w:r>
      <w:r w:rsidR="00587C96" w:rsidRPr="00C42FA8">
        <w:t xml:space="preserve"> incluido el gerente) </w:t>
      </w:r>
      <w:r w:rsidR="000B5643" w:rsidRPr="00C42FA8">
        <w:t>perteneciente al sector de la transformación ubicada en la ciudad de Durango, Durango</w:t>
      </w:r>
      <w:r w:rsidR="00FB6B49">
        <w:t>,</w:t>
      </w:r>
      <w:r w:rsidR="000B5643" w:rsidRPr="00C42FA8">
        <w:t xml:space="preserve"> México</w:t>
      </w:r>
      <w:r>
        <w:t>.</w:t>
      </w:r>
    </w:p>
    <w:p w14:paraId="0380731C" w14:textId="77777777" w:rsidR="005E7C0B" w:rsidRPr="00C42FA8" w:rsidRDefault="00B360B3" w:rsidP="007E4B66">
      <w:pPr>
        <w:spacing w:after="0" w:line="360" w:lineRule="auto"/>
        <w:ind w:firstLine="709"/>
        <w:jc w:val="both"/>
      </w:pPr>
      <w:r>
        <w:t>P</w:t>
      </w:r>
      <w:r w:rsidR="00587C96" w:rsidRPr="00C42FA8">
        <w:t>ara su clasificación</w:t>
      </w:r>
      <w:r>
        <w:t>,</w:t>
      </w:r>
      <w:r w:rsidR="006535F7">
        <w:t xml:space="preserve"> se </w:t>
      </w:r>
      <w:r>
        <w:t xml:space="preserve">acudió </w:t>
      </w:r>
      <w:r w:rsidR="000D413E" w:rsidRPr="00C42FA8">
        <w:t xml:space="preserve">al </w:t>
      </w:r>
      <w:r w:rsidR="000D413E" w:rsidRPr="00B360B3">
        <w:rPr>
          <w:i/>
        </w:rPr>
        <w:t>Diario Oficial de la Federación</w:t>
      </w:r>
      <w:r w:rsidR="000D413E" w:rsidRPr="00C42FA8">
        <w:t xml:space="preserve"> (2009) </w:t>
      </w:r>
      <w:r>
        <w:t>—</w:t>
      </w:r>
      <w:r w:rsidR="000D413E" w:rsidRPr="00C42FA8">
        <w:t>aún vigente</w:t>
      </w:r>
      <w:r>
        <w:t>—</w:t>
      </w:r>
      <w:r w:rsidR="000D413E" w:rsidRPr="00C42FA8">
        <w:t xml:space="preserve">, </w:t>
      </w:r>
      <w:r>
        <w:t xml:space="preserve">en el cual se </w:t>
      </w:r>
      <w:r w:rsidR="000D413E" w:rsidRPr="00C42FA8">
        <w:t>menciona que uno de los criterios básicos para la clasificación de la</w:t>
      </w:r>
      <w:r>
        <w:t>s</w:t>
      </w:r>
      <w:r w:rsidR="000D413E" w:rsidRPr="00C42FA8">
        <w:t xml:space="preserve"> </w:t>
      </w:r>
      <w:r w:rsidRPr="00C42FA8">
        <w:t>mipymes</w:t>
      </w:r>
      <w:r w:rsidR="00EE2E35">
        <w:t xml:space="preserve"> es el número de sus empleados; es decir,</w:t>
      </w:r>
      <w:r w:rsidR="000D413E" w:rsidRPr="00C42FA8">
        <w:t xml:space="preserve"> las micro</w:t>
      </w:r>
      <w:r w:rsidR="00EE2E35">
        <w:t>empresas</w:t>
      </w:r>
      <w:r w:rsidR="000D413E" w:rsidRPr="00C42FA8">
        <w:t xml:space="preserve"> tienen hasta 10 trabajadores; las pequeñas, </w:t>
      </w:r>
      <w:r w:rsidR="00EE2E35">
        <w:t>entre 11 y</w:t>
      </w:r>
      <w:r w:rsidR="000D413E" w:rsidRPr="00C42FA8">
        <w:t xml:space="preserve"> 50; las medianas, </w:t>
      </w:r>
      <w:r w:rsidR="00EE2E35">
        <w:t>entre 50 y 250, y</w:t>
      </w:r>
      <w:r w:rsidR="000D413E" w:rsidRPr="00C42FA8">
        <w:t xml:space="preserve"> </w:t>
      </w:r>
      <w:r w:rsidR="00EE2E35">
        <w:t>l</w:t>
      </w:r>
      <w:r w:rsidR="000D413E" w:rsidRPr="00C42FA8">
        <w:t>as grandes</w:t>
      </w:r>
      <w:r w:rsidR="00EE2E35">
        <w:t xml:space="preserve"> más de</w:t>
      </w:r>
      <w:r w:rsidR="000D413E" w:rsidRPr="00C42FA8">
        <w:t xml:space="preserve"> 251.</w:t>
      </w:r>
    </w:p>
    <w:p w14:paraId="71CCA1DB" w14:textId="77777777" w:rsidR="000B5643" w:rsidRDefault="000B5643" w:rsidP="00EE2E35">
      <w:pPr>
        <w:spacing w:after="0" w:line="360" w:lineRule="auto"/>
        <w:ind w:firstLine="708"/>
        <w:jc w:val="both"/>
      </w:pPr>
      <w:r w:rsidRPr="00C42FA8">
        <w:t xml:space="preserve">En México, las </w:t>
      </w:r>
      <w:r w:rsidR="00EE2E35" w:rsidRPr="00C42FA8">
        <w:t>mypes</w:t>
      </w:r>
      <w:r w:rsidRPr="00C42FA8">
        <w:t xml:space="preserve"> </w:t>
      </w:r>
      <w:r w:rsidR="00EE2E35">
        <w:t>conforman</w:t>
      </w:r>
      <w:r w:rsidRPr="00C42FA8">
        <w:t xml:space="preserve"> 99.8</w:t>
      </w:r>
      <w:r w:rsidR="00EE2E35">
        <w:t> </w:t>
      </w:r>
      <w:r w:rsidRPr="00C42FA8">
        <w:t>% de las empresas y 72.3</w:t>
      </w:r>
      <w:r w:rsidR="00EE2E35">
        <w:t> </w:t>
      </w:r>
      <w:r w:rsidRPr="00C42FA8">
        <w:t>% de las fuentes de empleo. Sin embargo, su productividad es relativamente baja</w:t>
      </w:r>
      <w:r w:rsidR="00EE2E35">
        <w:t>, ya que en conjunto so</w:t>
      </w:r>
      <w:r w:rsidRPr="00C42FA8">
        <w:t>lo aportan 25</w:t>
      </w:r>
      <w:r w:rsidR="00EE2E35">
        <w:t> </w:t>
      </w:r>
      <w:r w:rsidRPr="00C42FA8">
        <w:t xml:space="preserve">% del </w:t>
      </w:r>
      <w:r w:rsidR="00EE2E35" w:rsidRPr="00C42FA8">
        <w:t xml:space="preserve">producto interno bruto </w:t>
      </w:r>
      <w:r w:rsidRPr="00C42FA8">
        <w:t xml:space="preserve">(PIB), </w:t>
      </w:r>
      <w:r w:rsidR="00EE2E35">
        <w:t xml:space="preserve">según </w:t>
      </w:r>
      <w:r w:rsidRPr="00C42FA8">
        <w:t>datos del Instituto Nacional de Geografía e Informática (I</w:t>
      </w:r>
      <w:r w:rsidR="00EE2E35" w:rsidRPr="00C42FA8">
        <w:t>negi</w:t>
      </w:r>
      <w:r w:rsidRPr="00C42FA8">
        <w:t xml:space="preserve">), actualizados </w:t>
      </w:r>
      <w:r w:rsidR="00EE2E35">
        <w:t>hasta</w:t>
      </w:r>
      <w:r w:rsidRPr="00C42FA8">
        <w:t xml:space="preserve"> 2018.</w:t>
      </w:r>
      <w:r w:rsidR="00EE2E35">
        <w:t xml:space="preserve"> Asimismo, y según </w:t>
      </w:r>
      <w:r w:rsidRPr="00C42FA8">
        <w:t xml:space="preserve">Posada </w:t>
      </w:r>
      <w:r w:rsidR="007E4B66" w:rsidRPr="00EE2E35">
        <w:rPr>
          <w:i/>
        </w:rPr>
        <w:t>et al</w:t>
      </w:r>
      <w:r w:rsidR="00EE2E35" w:rsidRPr="00EE2E35">
        <w:rPr>
          <w:i/>
        </w:rPr>
        <w:t>.</w:t>
      </w:r>
      <w:r w:rsidRPr="00C42FA8">
        <w:t xml:space="preserve"> (2016) </w:t>
      </w:r>
      <w:r w:rsidR="00EE2E35">
        <w:t xml:space="preserve">—quienes también se basan en </w:t>
      </w:r>
      <w:r w:rsidRPr="00C42FA8">
        <w:t xml:space="preserve">datos </w:t>
      </w:r>
      <w:r w:rsidR="00EE2E35">
        <w:t xml:space="preserve">ofrecidos por </w:t>
      </w:r>
      <w:r w:rsidRPr="00C42FA8">
        <w:t>el I</w:t>
      </w:r>
      <w:r w:rsidR="00EE2E35" w:rsidRPr="00C42FA8">
        <w:t>negi</w:t>
      </w:r>
      <w:r w:rsidR="00EE2E35">
        <w:t>—</w:t>
      </w:r>
      <w:r w:rsidRPr="00C42FA8">
        <w:t xml:space="preserve">, los principales problemas de las </w:t>
      </w:r>
      <w:r w:rsidR="00EE2E35" w:rsidRPr="00C42FA8">
        <w:t>mypes</w:t>
      </w:r>
      <w:r w:rsidRPr="00C42FA8">
        <w:t xml:space="preserve"> son la competencia excesiva, l</w:t>
      </w:r>
      <w:r w:rsidR="00EE2E35">
        <w:t>os escasos</w:t>
      </w:r>
      <w:r w:rsidRPr="00C42FA8">
        <w:t xml:space="preserve"> clientes, la falta de crédito, las </w:t>
      </w:r>
      <w:r w:rsidR="00EE2E35">
        <w:t>mínimas</w:t>
      </w:r>
      <w:r w:rsidRPr="00C42FA8">
        <w:t xml:space="preserve"> ganancias, </w:t>
      </w:r>
      <w:r w:rsidR="00EE2E35">
        <w:t xml:space="preserve">los </w:t>
      </w:r>
      <w:r w:rsidRPr="00C42FA8">
        <w:t xml:space="preserve">problemas con </w:t>
      </w:r>
      <w:r w:rsidR="00EE2E35">
        <w:t xml:space="preserve">las </w:t>
      </w:r>
      <w:r w:rsidRPr="00C42FA8">
        <w:t xml:space="preserve">autoridades y </w:t>
      </w:r>
      <w:r w:rsidR="00EE2E35">
        <w:t>el</w:t>
      </w:r>
      <w:r w:rsidRPr="00C42FA8">
        <w:t xml:space="preserve"> pago entre proveedores y clientes, </w:t>
      </w:r>
      <w:r w:rsidR="00FB6B49">
        <w:t>razones</w:t>
      </w:r>
      <w:r w:rsidR="00EE2E35">
        <w:t xml:space="preserve"> por la</w:t>
      </w:r>
      <w:r w:rsidR="00FB6B49">
        <w:t>s</w:t>
      </w:r>
      <w:r w:rsidR="00EE2E35">
        <w:t xml:space="preserve"> que </w:t>
      </w:r>
      <w:r w:rsidRPr="00C42FA8">
        <w:t>su esperanza d</w:t>
      </w:r>
      <w:r w:rsidR="00354B87">
        <w:t>e vida promedio es de 7.7 años</w:t>
      </w:r>
      <w:r w:rsidR="00FB6B49">
        <w:t xml:space="preserve">. De hecho, </w:t>
      </w:r>
      <w:r w:rsidRPr="00C42FA8">
        <w:t>más de 80</w:t>
      </w:r>
      <w:r w:rsidR="00354B87">
        <w:t> </w:t>
      </w:r>
      <w:r w:rsidRPr="00C42FA8">
        <w:t xml:space="preserve">% </w:t>
      </w:r>
      <w:r w:rsidR="00354B87">
        <w:t xml:space="preserve">de estas </w:t>
      </w:r>
      <w:r w:rsidRPr="00C42FA8">
        <w:t>no sobrevive a los dos años.</w:t>
      </w:r>
      <w:r w:rsidR="007C20DD">
        <w:t xml:space="preserve"> Esto </w:t>
      </w:r>
      <w:r w:rsidR="00354B87">
        <w:t xml:space="preserve">significa </w:t>
      </w:r>
      <w:r w:rsidR="007C20DD">
        <w:t>que la gestión como variable tiene un rol primordial que antecede al liderazgo.</w:t>
      </w:r>
    </w:p>
    <w:p w14:paraId="526A4099" w14:textId="77777777" w:rsidR="000B5643" w:rsidRPr="00C42FA8" w:rsidRDefault="000B5643" w:rsidP="007E4B66">
      <w:pPr>
        <w:spacing w:after="0" w:line="360" w:lineRule="auto"/>
        <w:ind w:firstLine="709"/>
        <w:jc w:val="both"/>
      </w:pPr>
      <w:r w:rsidRPr="00C42FA8">
        <w:t xml:space="preserve">A lo largo de 30 años </w:t>
      </w:r>
      <w:r w:rsidR="00354B87">
        <w:t>—</w:t>
      </w:r>
      <w:r w:rsidRPr="00C42FA8">
        <w:t xml:space="preserve">como señalan Posada </w:t>
      </w:r>
      <w:r w:rsidR="007E4B66" w:rsidRPr="00354B87">
        <w:rPr>
          <w:i/>
        </w:rPr>
        <w:t>et al</w:t>
      </w:r>
      <w:r w:rsidR="00354B87">
        <w:t>.</w:t>
      </w:r>
      <w:r w:rsidRPr="00C42FA8">
        <w:t xml:space="preserve"> (2016)</w:t>
      </w:r>
      <w:r w:rsidR="00354B87">
        <w:t>—,</w:t>
      </w:r>
      <w:r w:rsidRPr="00C42FA8">
        <w:t xml:space="preserve"> se ha analizado la problemática anteriormente descrita para encontrar mecanismos que ayuden a las </w:t>
      </w:r>
      <w:r w:rsidR="00354B87" w:rsidRPr="00C42FA8">
        <w:t xml:space="preserve">mypes </w:t>
      </w:r>
      <w:r w:rsidR="00354B87">
        <w:t>no so</w:t>
      </w:r>
      <w:r w:rsidRPr="00C42FA8">
        <w:t>lo a crecer</w:t>
      </w:r>
      <w:r w:rsidR="00354B87">
        <w:t>,</w:t>
      </w:r>
      <w:r w:rsidRPr="00C42FA8">
        <w:t xml:space="preserve"> sino </w:t>
      </w:r>
      <w:r w:rsidR="00354B87">
        <w:t xml:space="preserve">también </w:t>
      </w:r>
      <w:r w:rsidRPr="00C42FA8">
        <w:t xml:space="preserve">a desarrollarse y </w:t>
      </w:r>
      <w:r w:rsidR="00354B87">
        <w:t xml:space="preserve">a </w:t>
      </w:r>
      <w:r w:rsidRPr="00C42FA8">
        <w:t xml:space="preserve">contar con valor agregado </w:t>
      </w:r>
      <w:r w:rsidR="00354B87">
        <w:t xml:space="preserve">para que </w:t>
      </w:r>
      <w:r w:rsidRPr="00C42FA8">
        <w:t xml:space="preserve">en </w:t>
      </w:r>
      <w:r w:rsidR="00354B87">
        <w:t>su</w:t>
      </w:r>
      <w:r w:rsidRPr="00C42FA8">
        <w:t xml:space="preserve"> entorno social exista una mejor redistribución de la riqueza.</w:t>
      </w:r>
    </w:p>
    <w:p w14:paraId="513D191A" w14:textId="77777777" w:rsidR="000B5643" w:rsidRDefault="00354B87" w:rsidP="00354B87">
      <w:pPr>
        <w:spacing w:after="0" w:line="360" w:lineRule="auto"/>
        <w:ind w:firstLine="709"/>
        <w:jc w:val="both"/>
      </w:pPr>
      <w:r>
        <w:t xml:space="preserve">En tal sentido, </w:t>
      </w:r>
      <w:r w:rsidR="000B5643" w:rsidRPr="00C42FA8">
        <w:t>A</w:t>
      </w:r>
      <w:r w:rsidR="000D413E" w:rsidRPr="00C42FA8">
        <w:t>vendaño y Perrotini (2015</w:t>
      </w:r>
      <w:r w:rsidR="000B5643" w:rsidRPr="00C42FA8">
        <w:t xml:space="preserve">) </w:t>
      </w:r>
      <w:r>
        <w:t>—</w:t>
      </w:r>
      <w:r w:rsidR="000B5643" w:rsidRPr="00C42FA8">
        <w:t xml:space="preserve">con base en datos del Banco de México (2013) y del Banco </w:t>
      </w:r>
      <w:r>
        <w:t>M</w:t>
      </w:r>
      <w:r w:rsidR="000B5643" w:rsidRPr="00C42FA8">
        <w:t>undial (2014)</w:t>
      </w:r>
      <w:r>
        <w:t>—</w:t>
      </w:r>
      <w:r w:rsidR="000B5643" w:rsidRPr="00C42FA8">
        <w:t xml:space="preserve"> </w:t>
      </w:r>
      <w:r>
        <w:t>explican</w:t>
      </w:r>
      <w:r w:rsidR="000B5643" w:rsidRPr="00C42FA8">
        <w:t xml:space="preserve"> que </w:t>
      </w:r>
      <w:r w:rsidRPr="00C42FA8">
        <w:t>México ha tenido un lento crecimiento</w:t>
      </w:r>
      <w:r>
        <w:t xml:space="preserve"> en esta área desde la década de 1980 debido </w:t>
      </w:r>
      <w:r w:rsidR="000B5643" w:rsidRPr="00C42FA8">
        <w:t xml:space="preserve">a </w:t>
      </w:r>
      <w:r>
        <w:t xml:space="preserve">las </w:t>
      </w:r>
      <w:r w:rsidR="000B5643" w:rsidRPr="00C42FA8">
        <w:t>fallas de mercado</w:t>
      </w:r>
      <w:r>
        <w:t>,</w:t>
      </w:r>
      <w:r w:rsidR="000B5643" w:rsidRPr="00C42FA8">
        <w:t xml:space="preserve"> de gobierno</w:t>
      </w:r>
      <w:r>
        <w:t xml:space="preserve"> y </w:t>
      </w:r>
      <w:r w:rsidR="000B5643" w:rsidRPr="00C42FA8">
        <w:t>de diversas variables económicas y financieras</w:t>
      </w:r>
      <w:r>
        <w:t>.</w:t>
      </w:r>
    </w:p>
    <w:p w14:paraId="2FF8ED63" w14:textId="77777777" w:rsidR="000B5643" w:rsidRDefault="00354B87" w:rsidP="007E4B66">
      <w:pPr>
        <w:spacing w:after="0" w:line="360" w:lineRule="auto"/>
        <w:ind w:firstLine="709"/>
        <w:jc w:val="both"/>
      </w:pPr>
      <w:r>
        <w:t>Estos</w:t>
      </w:r>
      <w:r w:rsidR="000B5643" w:rsidRPr="00C42FA8">
        <w:t xml:space="preserve"> factores limitan las posibilidades de acción de los micro</w:t>
      </w:r>
      <w:r w:rsidR="002337F1">
        <w:t>empresarios</w:t>
      </w:r>
      <w:r w:rsidR="000B5643" w:rsidRPr="00C42FA8">
        <w:t xml:space="preserve"> y pequeños empresarios en cuanto a elevar el potencial de sus recursos financieros y materiales,</w:t>
      </w:r>
      <w:r w:rsidR="008F3F61">
        <w:t xml:space="preserve"> aunque mantienen</w:t>
      </w:r>
      <w:r w:rsidR="000B5643" w:rsidRPr="00C42FA8">
        <w:t xml:space="preserve"> </w:t>
      </w:r>
      <w:r w:rsidR="008F3F61">
        <w:t>sus esfuerzos en relación con e</w:t>
      </w:r>
      <w:r w:rsidR="000B5643" w:rsidRPr="00C42FA8">
        <w:t xml:space="preserve">l capital humano, factor </w:t>
      </w:r>
      <w:r w:rsidR="008F3F61">
        <w:t xml:space="preserve">indispensable no solo </w:t>
      </w:r>
      <w:r w:rsidR="000B5643" w:rsidRPr="00C42FA8">
        <w:t xml:space="preserve">para </w:t>
      </w:r>
      <w:r w:rsidR="008F3F61">
        <w:t xml:space="preserve">promover </w:t>
      </w:r>
      <w:r w:rsidR="000B5643" w:rsidRPr="00C42FA8">
        <w:t xml:space="preserve">la productividad, </w:t>
      </w:r>
      <w:r w:rsidR="008F3F61">
        <w:t xml:space="preserve">la </w:t>
      </w:r>
      <w:r w:rsidR="000B5643" w:rsidRPr="00C42FA8">
        <w:t xml:space="preserve">competitividad </w:t>
      </w:r>
      <w:r w:rsidR="008F3F61">
        <w:t xml:space="preserve">y </w:t>
      </w:r>
      <w:r w:rsidR="000B5643" w:rsidRPr="00C42FA8">
        <w:t xml:space="preserve">la rentabilidad de sus empresas, </w:t>
      </w:r>
      <w:r w:rsidR="008F3F61">
        <w:t xml:space="preserve">sino también </w:t>
      </w:r>
      <w:r w:rsidR="000B5643" w:rsidRPr="00C42FA8">
        <w:t xml:space="preserve">para evitar </w:t>
      </w:r>
      <w:r w:rsidR="008F3F61">
        <w:t xml:space="preserve">que estas desaparezcan </w:t>
      </w:r>
      <w:r w:rsidR="000B5643" w:rsidRPr="00C42FA8">
        <w:t xml:space="preserve">en </w:t>
      </w:r>
      <w:r w:rsidR="008F3F61">
        <w:t xml:space="preserve">los primeros dos años </w:t>
      </w:r>
      <w:r w:rsidR="000B5643" w:rsidRPr="00C42FA8">
        <w:t xml:space="preserve">de </w:t>
      </w:r>
      <w:r w:rsidR="008F3F61">
        <w:t>fundación</w:t>
      </w:r>
      <w:r w:rsidR="000B5643" w:rsidRPr="00C42FA8">
        <w:t>.</w:t>
      </w:r>
      <w:r w:rsidR="007C20DD">
        <w:t xml:space="preserve"> </w:t>
      </w:r>
      <w:r w:rsidR="008F3F61">
        <w:t>Para f</w:t>
      </w:r>
      <w:r w:rsidR="007C20DD">
        <w:t xml:space="preserve">ortalecer este </w:t>
      </w:r>
      <w:r w:rsidR="007C20DD">
        <w:lastRenderedPageBreak/>
        <w:t xml:space="preserve">capital, </w:t>
      </w:r>
      <w:r w:rsidR="008F3F61">
        <w:t xml:space="preserve">por supuesto, se necesitan </w:t>
      </w:r>
      <w:r w:rsidR="007C20DD">
        <w:t>políticas claras en cuanto a promociones, remuneraciones, evaluaciones</w:t>
      </w:r>
      <w:r w:rsidR="008F3F61">
        <w:t xml:space="preserve"> y</w:t>
      </w:r>
      <w:r w:rsidR="007C20DD">
        <w:t xml:space="preserve"> </w:t>
      </w:r>
      <w:r w:rsidR="008F3F61">
        <w:t>capacitaciones</w:t>
      </w:r>
      <w:r w:rsidR="007C20DD">
        <w:t>, variables que surgen de la gestión.</w:t>
      </w:r>
    </w:p>
    <w:p w14:paraId="7BB7BADD" w14:textId="77777777" w:rsidR="000B5643" w:rsidRPr="00C42FA8" w:rsidRDefault="000B5643" w:rsidP="007E4B66">
      <w:pPr>
        <w:spacing w:after="0" w:line="360" w:lineRule="auto"/>
        <w:ind w:firstLine="709"/>
        <w:jc w:val="both"/>
      </w:pPr>
      <w:r w:rsidRPr="00C42FA8">
        <w:t xml:space="preserve">Por </w:t>
      </w:r>
      <w:r w:rsidR="008F3F61">
        <w:t>este motivo</w:t>
      </w:r>
      <w:r w:rsidRPr="00C42FA8">
        <w:t xml:space="preserve">, </w:t>
      </w:r>
      <w:r w:rsidR="008F3F61">
        <w:t xml:space="preserve">en </w:t>
      </w:r>
      <w:r w:rsidRPr="00C42FA8">
        <w:t xml:space="preserve">el presente estudio </w:t>
      </w:r>
      <w:r w:rsidR="008F3F61">
        <w:t xml:space="preserve">se </w:t>
      </w:r>
      <w:r w:rsidRPr="00C42FA8">
        <w:t>busca determinar los factores de valor y de ventaja competitiva que representa</w:t>
      </w:r>
      <w:r w:rsidR="008F3F61">
        <w:t>n</w:t>
      </w:r>
      <w:r w:rsidRPr="00C42FA8">
        <w:t xml:space="preserve"> el capital humano desde el concepto de bienestar psicológico en el trabajo</w:t>
      </w:r>
      <w:r w:rsidR="0076256F" w:rsidRPr="00C42FA8">
        <w:t xml:space="preserve"> bajo el estilo de liderazgo transformacional, </w:t>
      </w:r>
      <w:r w:rsidR="00F12FAA">
        <w:t xml:space="preserve">así como </w:t>
      </w:r>
      <w:r w:rsidR="0076256F" w:rsidRPr="00C42FA8">
        <w:t xml:space="preserve">la implicación de la confianza en el líder para </w:t>
      </w:r>
      <w:r w:rsidR="00F12FAA">
        <w:t>establecer</w:t>
      </w:r>
      <w:r w:rsidR="0076256F" w:rsidRPr="00C42FA8">
        <w:t xml:space="preserve"> la relación entre las variables</w:t>
      </w:r>
      <w:r w:rsidR="00F12FAA">
        <w:t xml:space="preserve">, lo cual permitirá conocer </w:t>
      </w:r>
      <w:r w:rsidR="0076256F" w:rsidRPr="00C42FA8">
        <w:t xml:space="preserve">posibles herramientas para las estrategias efectivas en la gestión del capital humano. </w:t>
      </w:r>
    </w:p>
    <w:p w14:paraId="5288B090" w14:textId="77777777" w:rsidR="000B5643" w:rsidRPr="00C42FA8" w:rsidRDefault="0076256F" w:rsidP="007E4B66">
      <w:pPr>
        <w:spacing w:after="0" w:line="360" w:lineRule="auto"/>
        <w:ind w:firstLine="709"/>
        <w:jc w:val="both"/>
      </w:pPr>
      <w:r w:rsidRPr="00C42FA8">
        <w:t>Una gestión efectiva del capital humano puede ser</w:t>
      </w:r>
      <w:r w:rsidR="000B5643" w:rsidRPr="00C42FA8">
        <w:t xml:space="preserve"> significativa para la permanencia y </w:t>
      </w:r>
      <w:r w:rsidR="00F12FAA">
        <w:t xml:space="preserve">el </w:t>
      </w:r>
      <w:r w:rsidR="000B5643" w:rsidRPr="00C42FA8">
        <w:t xml:space="preserve">éxito de las </w:t>
      </w:r>
      <w:r w:rsidR="00F12FAA" w:rsidRPr="00C42FA8">
        <w:t>mypes</w:t>
      </w:r>
      <w:r w:rsidR="000B5643" w:rsidRPr="00C42FA8">
        <w:t>. El reto</w:t>
      </w:r>
      <w:r w:rsidR="00F12FAA">
        <w:t>, no obstante,</w:t>
      </w:r>
      <w:r w:rsidR="000B5643" w:rsidRPr="00C42FA8">
        <w:t xml:space="preserve"> es</w:t>
      </w:r>
      <w:r w:rsidRPr="00C42FA8">
        <w:t xml:space="preserve"> identificar y</w:t>
      </w:r>
      <w:r w:rsidR="000B5643" w:rsidRPr="00C42FA8">
        <w:t xml:space="preserve"> </w:t>
      </w:r>
      <w:r w:rsidR="00F12FAA">
        <w:t>administrar</w:t>
      </w:r>
      <w:r w:rsidR="000B5643" w:rsidRPr="00C42FA8">
        <w:t xml:space="preserve"> las condiciones para que personas con diferentes necesidades, conocimientos, actitudes y aprendizajes </w:t>
      </w:r>
      <w:r w:rsidR="00F12FAA">
        <w:t>no solo consigan</w:t>
      </w:r>
      <w:r w:rsidR="000B5643" w:rsidRPr="00C42FA8">
        <w:t xml:space="preserve"> </w:t>
      </w:r>
      <w:r w:rsidRPr="00C42FA8">
        <w:t>factores de trabajo óptimo</w:t>
      </w:r>
      <w:r w:rsidR="000B5643" w:rsidRPr="00C42FA8">
        <w:t xml:space="preserve">, </w:t>
      </w:r>
      <w:r w:rsidR="00F12FAA">
        <w:t xml:space="preserve">sino también se sientan </w:t>
      </w:r>
      <w:r w:rsidR="000B5643" w:rsidRPr="00C42FA8">
        <w:t xml:space="preserve">plenas y realizadas en su vida, lo cual puede </w:t>
      </w:r>
      <w:r w:rsidR="00F12FAA">
        <w:t>beneficiar a</w:t>
      </w:r>
      <w:r w:rsidRPr="00C42FA8">
        <w:t xml:space="preserve">l negocio en cuanto a productividad, innovación </w:t>
      </w:r>
      <w:r w:rsidR="00F12FAA">
        <w:t xml:space="preserve">y demás </w:t>
      </w:r>
      <w:r w:rsidRPr="00C42FA8">
        <w:t>objetivo</w:t>
      </w:r>
      <w:r w:rsidR="00F12FAA">
        <w:t>s</w:t>
      </w:r>
      <w:r w:rsidRPr="00C42FA8">
        <w:t xml:space="preserve"> propuesto</w:t>
      </w:r>
      <w:r w:rsidR="00F12FAA">
        <w:t>s</w:t>
      </w:r>
      <w:r w:rsidRPr="00C42FA8">
        <w:t>.</w:t>
      </w:r>
    </w:p>
    <w:p w14:paraId="60EA5CF3" w14:textId="77777777" w:rsidR="001D3352" w:rsidRDefault="00A56D4F" w:rsidP="002D2076">
      <w:pPr>
        <w:autoSpaceDE w:val="0"/>
        <w:autoSpaceDN w:val="0"/>
        <w:adjustRightInd w:val="0"/>
        <w:spacing w:after="0" w:line="360" w:lineRule="auto"/>
        <w:ind w:firstLine="708"/>
        <w:jc w:val="both"/>
      </w:pPr>
      <w:r w:rsidRPr="00C42FA8">
        <w:rPr>
          <w:iCs/>
        </w:rPr>
        <w:t>En la presente investigación se llevó a cabo un estudio</w:t>
      </w:r>
      <w:r w:rsidRPr="00C42FA8">
        <w:rPr>
          <w:i/>
          <w:iCs/>
        </w:rPr>
        <w:t xml:space="preserve"> </w:t>
      </w:r>
      <w:r w:rsidR="001D3352" w:rsidRPr="00C42FA8">
        <w:t>de caso cuantitativo, de corte transversal correlacional</w:t>
      </w:r>
      <w:r w:rsidR="00F12FAA">
        <w:t>, para lo cual se aplicó</w:t>
      </w:r>
      <w:r w:rsidR="001D3352" w:rsidRPr="00C42FA8">
        <w:t xml:space="preserve"> un censo a u</w:t>
      </w:r>
      <w:r w:rsidR="00F12FAA">
        <w:t>na población de 23 trabajadores.</w:t>
      </w:r>
      <w:r w:rsidR="001D3352" w:rsidRPr="00C42FA8">
        <w:t xml:space="preserve"> </w:t>
      </w:r>
      <w:r w:rsidR="00F12FAA">
        <w:t>L</w:t>
      </w:r>
      <w:r w:rsidR="001D3352" w:rsidRPr="00C42FA8">
        <w:t xml:space="preserve">as hipótesis </w:t>
      </w:r>
      <w:r w:rsidR="00F12FAA">
        <w:t>evaluadas fueron</w:t>
      </w:r>
      <w:r w:rsidR="001D3352" w:rsidRPr="00C42FA8">
        <w:t xml:space="preserve"> las siguientes: </w:t>
      </w:r>
    </w:p>
    <w:p w14:paraId="19FCD1E9" w14:textId="77777777" w:rsidR="001D3352" w:rsidRPr="00C42FA8" w:rsidRDefault="001D3352" w:rsidP="00F12FAA">
      <w:pPr>
        <w:pStyle w:val="Prrafodelista"/>
        <w:numPr>
          <w:ilvl w:val="0"/>
          <w:numId w:val="1"/>
        </w:numPr>
        <w:autoSpaceDE w:val="0"/>
        <w:autoSpaceDN w:val="0"/>
        <w:adjustRightInd w:val="0"/>
        <w:spacing w:after="0" w:line="360" w:lineRule="auto"/>
        <w:jc w:val="both"/>
      </w:pPr>
      <w:r w:rsidRPr="00C42FA8">
        <w:t>H1. Existe una correlación entre el estilo de liderazgo transformacional y el bienestar psicológico en el trabajo.</w:t>
      </w:r>
    </w:p>
    <w:p w14:paraId="130DA63F" w14:textId="77777777" w:rsidR="001D3352" w:rsidRDefault="001D3352" w:rsidP="00F12FAA">
      <w:pPr>
        <w:pStyle w:val="Prrafodelista"/>
        <w:numPr>
          <w:ilvl w:val="0"/>
          <w:numId w:val="1"/>
        </w:numPr>
        <w:autoSpaceDE w:val="0"/>
        <w:autoSpaceDN w:val="0"/>
        <w:adjustRightInd w:val="0"/>
        <w:spacing w:after="0" w:line="360" w:lineRule="auto"/>
        <w:jc w:val="both"/>
      </w:pPr>
      <w:r w:rsidRPr="00C42FA8">
        <w:t xml:space="preserve">H2. </w:t>
      </w:r>
      <w:r w:rsidR="007C20DD">
        <w:t>Existe una correlación entre el liderazgo transformacional y la confianza en el líder</w:t>
      </w:r>
      <w:r w:rsidRPr="00C42FA8">
        <w:t>.</w:t>
      </w:r>
    </w:p>
    <w:p w14:paraId="0DAF871F" w14:textId="77777777" w:rsidR="007C20DD" w:rsidRPr="00C42FA8" w:rsidRDefault="007C20DD" w:rsidP="00F12FAA">
      <w:pPr>
        <w:pStyle w:val="Prrafodelista"/>
        <w:numPr>
          <w:ilvl w:val="0"/>
          <w:numId w:val="1"/>
        </w:numPr>
        <w:autoSpaceDE w:val="0"/>
        <w:autoSpaceDN w:val="0"/>
        <w:adjustRightInd w:val="0"/>
        <w:spacing w:after="0" w:line="360" w:lineRule="auto"/>
        <w:jc w:val="both"/>
      </w:pPr>
      <w:r>
        <w:t>H3. Existe correlación entre la confianza en el líder y la percepción del bienestar psicológico en el trabajo.</w:t>
      </w:r>
    </w:p>
    <w:p w14:paraId="21DF67A3" w14:textId="77777777" w:rsidR="001D3352" w:rsidRPr="00C42FA8" w:rsidRDefault="001D3352" w:rsidP="001D3352">
      <w:pPr>
        <w:autoSpaceDE w:val="0"/>
        <w:autoSpaceDN w:val="0"/>
        <w:adjustRightInd w:val="0"/>
        <w:spacing w:after="0" w:line="360" w:lineRule="auto"/>
        <w:ind w:firstLine="708"/>
        <w:jc w:val="both"/>
      </w:pPr>
      <w:r w:rsidRPr="00C42FA8">
        <w:t xml:space="preserve">Los resultados expresan la percepción que tienen los trabajadores y muestran un importante nivel de correlación entre el liderazgo transformacional (consideración individualizada, motivación inspiradora, influencia idealizada y estimulación intelectual), la confianza en el gerente, así como el bienestar psicológico en el trabajo. </w:t>
      </w:r>
    </w:p>
    <w:p w14:paraId="1297949C" w14:textId="77777777" w:rsidR="002D2076" w:rsidRDefault="001D3352" w:rsidP="002D2076">
      <w:pPr>
        <w:autoSpaceDE w:val="0"/>
        <w:autoSpaceDN w:val="0"/>
        <w:adjustRightInd w:val="0"/>
        <w:spacing w:after="0" w:line="360" w:lineRule="auto"/>
        <w:ind w:firstLine="708"/>
        <w:jc w:val="both"/>
        <w:rPr>
          <w:shd w:val="clear" w:color="auto" w:fill="FFFFFF"/>
        </w:rPr>
      </w:pPr>
      <w:r w:rsidRPr="00C42FA8">
        <w:rPr>
          <w:shd w:val="clear" w:color="auto" w:fill="FFFFFF"/>
        </w:rPr>
        <w:t>Desde una perspectiva práctica</w:t>
      </w:r>
      <w:r w:rsidR="002563D9">
        <w:rPr>
          <w:shd w:val="clear" w:color="auto" w:fill="FFFFFF"/>
        </w:rPr>
        <w:t>,</w:t>
      </w:r>
      <w:r w:rsidRPr="00C42FA8">
        <w:rPr>
          <w:shd w:val="clear" w:color="auto" w:fill="FFFFFF"/>
        </w:rPr>
        <w:t xml:space="preserve"> los aportes científicos proveen una herramienta potencial para el diagnóstico del bienestar psicológico en el trabajo con un rigor metodológico en la métrica, lo cual permite comprender las nociones de bienestar y liderazgo y plantear estrategias organizacionales para las </w:t>
      </w:r>
      <w:r w:rsidR="002563D9" w:rsidRPr="00C42FA8">
        <w:rPr>
          <w:shd w:val="clear" w:color="auto" w:fill="FFFFFF"/>
        </w:rPr>
        <w:t>mypes</w:t>
      </w:r>
      <w:r w:rsidRPr="00C42FA8">
        <w:rPr>
          <w:shd w:val="clear" w:color="auto" w:fill="FFFFFF"/>
        </w:rPr>
        <w:t>.</w:t>
      </w:r>
    </w:p>
    <w:p w14:paraId="77EB7409" w14:textId="77777777" w:rsidR="00D35C7B" w:rsidRDefault="00D35C7B" w:rsidP="002D2076">
      <w:pPr>
        <w:autoSpaceDE w:val="0"/>
        <w:autoSpaceDN w:val="0"/>
        <w:adjustRightInd w:val="0"/>
        <w:spacing w:after="0" w:line="360" w:lineRule="auto"/>
        <w:ind w:firstLine="708"/>
        <w:jc w:val="both"/>
        <w:rPr>
          <w:rFonts w:eastAsia="Times New Roman"/>
          <w:color w:val="000000" w:themeColor="text1"/>
          <w:lang w:eastAsia="es-ES_tradnl"/>
        </w:rPr>
      </w:pPr>
    </w:p>
    <w:p w14:paraId="5C2CE795" w14:textId="1BFA99D0" w:rsidR="009836B8" w:rsidRPr="00C42FA8" w:rsidRDefault="009836B8" w:rsidP="002D2076">
      <w:pPr>
        <w:autoSpaceDE w:val="0"/>
        <w:autoSpaceDN w:val="0"/>
        <w:adjustRightInd w:val="0"/>
        <w:spacing w:after="0" w:line="360" w:lineRule="auto"/>
        <w:ind w:firstLine="708"/>
        <w:jc w:val="both"/>
        <w:rPr>
          <w:shd w:val="clear" w:color="auto" w:fill="FFFFFF"/>
        </w:rPr>
      </w:pPr>
      <w:r w:rsidRPr="00907F58">
        <w:rPr>
          <w:rFonts w:eastAsia="Times New Roman"/>
          <w:color w:val="000000" w:themeColor="text1"/>
          <w:lang w:eastAsia="es-ES_tradnl"/>
        </w:rPr>
        <w:lastRenderedPageBreak/>
        <w:t xml:space="preserve">En un inicio, las prácticas dirigidas a la promoción del bienestar laboral se centraron en programas sociales tendientes a mejorar las condiciones morales y mentales del trabajador; posteriormente, en proyectos orientados a modificar las condiciones de trabajo o a ofrecimientos de prestaciones especiales que complementaran los ingresos y condiciones sociales del trabajador; después, al logro de estrategias para el incremento de la lealtad, la motivación y, por último, a la búsqueda de condiciones que mejoraran de manejar integral la calidad de vida laboral </w:t>
      </w:r>
      <w:r w:rsidRPr="0091632B">
        <w:rPr>
          <w:rFonts w:eastAsia="Times New Roman"/>
          <w:noProof/>
          <w:color w:val="000000" w:themeColor="text1"/>
          <w:lang w:eastAsia="es-ES_tradnl"/>
        </w:rPr>
        <w:t>(Barley y Kunda, 1992)</w:t>
      </w:r>
      <w:r w:rsidRPr="0091632B">
        <w:rPr>
          <w:rFonts w:eastAsia="Times New Roman"/>
          <w:color w:val="000000" w:themeColor="text1"/>
          <w:lang w:eastAsia="es-ES_tradnl"/>
        </w:rPr>
        <w:t>.</w:t>
      </w:r>
    </w:p>
    <w:p w14:paraId="41BD20D6" w14:textId="77777777" w:rsidR="00A56D4F" w:rsidRDefault="002D2076" w:rsidP="007E4B66">
      <w:pPr>
        <w:spacing w:after="0" w:line="360" w:lineRule="auto"/>
        <w:ind w:firstLine="708"/>
        <w:jc w:val="both"/>
      </w:pPr>
      <w:r w:rsidRPr="00C42FA8">
        <w:t>En</w:t>
      </w:r>
      <w:r w:rsidR="00A56D4F" w:rsidRPr="00C42FA8">
        <w:t xml:space="preserve"> años recientes comenzaron a tomar relevancia estudios que enfatizan la relación de la felicidad en los seres humanos y el efecto que produce en el trabajo, </w:t>
      </w:r>
      <w:r w:rsidR="0007435A">
        <w:t xml:space="preserve">y se determinó </w:t>
      </w:r>
      <w:r w:rsidR="002563D9">
        <w:t xml:space="preserve">que es </w:t>
      </w:r>
      <w:r w:rsidR="00A56D4F" w:rsidRPr="00C42FA8">
        <w:t xml:space="preserve">una variable </w:t>
      </w:r>
      <w:r w:rsidR="0007435A">
        <w:t xml:space="preserve">que </w:t>
      </w:r>
      <w:r w:rsidR="00A56D4F" w:rsidRPr="00C42FA8">
        <w:t xml:space="preserve">afecta a la otra de manera significativa. </w:t>
      </w:r>
      <w:r w:rsidR="00111C76">
        <w:t>Posteriormente</w:t>
      </w:r>
      <w:r w:rsidR="0007435A">
        <w:t>,</w:t>
      </w:r>
      <w:r w:rsidR="00111C76">
        <w:t xml:space="preserve"> s</w:t>
      </w:r>
      <w:r w:rsidR="00A56D4F" w:rsidRPr="00C42FA8">
        <w:t xml:space="preserve">e ha demostrado que </w:t>
      </w:r>
      <w:r w:rsidR="00111C76">
        <w:t>la felicidad es solo un componente hedónico del aspecto cognitivo del ser humano, por lo que los estudios han ampliado la conceptualización</w:t>
      </w:r>
      <w:r w:rsidR="0007435A">
        <w:t xml:space="preserve"> y han abarcado</w:t>
      </w:r>
      <w:r w:rsidR="00111C76">
        <w:t xml:space="preserve"> aspectos relativos al desarrollo personal, </w:t>
      </w:r>
      <w:r w:rsidR="0007435A">
        <w:t xml:space="preserve">lo que ha derivado </w:t>
      </w:r>
      <w:r w:rsidR="00111C76">
        <w:t xml:space="preserve">en un enfoque eudamónico, </w:t>
      </w:r>
      <w:r w:rsidR="0007435A">
        <w:t xml:space="preserve">que considera </w:t>
      </w:r>
      <w:r w:rsidR="00111C76">
        <w:t>otros aspectos de la vida que por sí solos los satisfactores de placer no cumplen</w:t>
      </w:r>
      <w:r w:rsidR="0007435A">
        <w:t>. Por ello,</w:t>
      </w:r>
      <w:r w:rsidR="00111C76">
        <w:t xml:space="preserve"> las investigaciones </w:t>
      </w:r>
      <w:r w:rsidR="0007435A">
        <w:t>han procurado</w:t>
      </w:r>
      <w:r w:rsidR="00111C76">
        <w:t xml:space="preserve"> conceptualizar ambos enfoques con el término </w:t>
      </w:r>
      <w:r w:rsidR="00111C76" w:rsidRPr="0007435A">
        <w:rPr>
          <w:i/>
        </w:rPr>
        <w:t>bienestar psicológico</w:t>
      </w:r>
      <w:r w:rsidR="0007435A">
        <w:t xml:space="preserve">, y se ha determinado que </w:t>
      </w:r>
      <w:r w:rsidR="00981A05">
        <w:t xml:space="preserve">cuanto </w:t>
      </w:r>
      <w:r w:rsidR="00111C76">
        <w:t xml:space="preserve">mayor </w:t>
      </w:r>
      <w:r w:rsidR="00981A05">
        <w:t xml:space="preserve">es este, se consigue un </w:t>
      </w:r>
      <w:r w:rsidR="0007435A">
        <w:t xml:space="preserve">mejor </w:t>
      </w:r>
      <w:r w:rsidR="00A56D4F" w:rsidRPr="00C42FA8">
        <w:t>desempeño y atención en las tareas (Diener y Biswas-Diener 2002; Diener y Seligman, 2004; Seligman,</w:t>
      </w:r>
      <w:r w:rsidR="0011538E">
        <w:t xml:space="preserve"> </w:t>
      </w:r>
      <w:r w:rsidR="0011538E" w:rsidRPr="0011538E">
        <w:rPr>
          <w:rFonts w:eastAsia="Calibri"/>
          <w:lang w:val="es-VE"/>
        </w:rPr>
        <w:t>Ernst</w:t>
      </w:r>
      <w:r w:rsidR="0011538E">
        <w:rPr>
          <w:rFonts w:eastAsia="Calibri"/>
          <w:lang w:val="es-VE"/>
        </w:rPr>
        <w:t>,</w:t>
      </w:r>
      <w:r w:rsidR="00A56D4F" w:rsidRPr="00C42FA8">
        <w:t xml:space="preserve"> Gillham, Reivich y Linkins, 2009).</w:t>
      </w:r>
    </w:p>
    <w:p w14:paraId="0FA18631" w14:textId="77777777" w:rsidR="00173B57" w:rsidRPr="00C42FA8" w:rsidRDefault="000360C2" w:rsidP="007E4B66">
      <w:pPr>
        <w:spacing w:after="0" w:line="360" w:lineRule="auto"/>
        <w:ind w:firstLine="708"/>
        <w:jc w:val="both"/>
      </w:pPr>
      <w:r>
        <w:t>En efecto, l</w:t>
      </w:r>
      <w:r w:rsidR="00173B57" w:rsidRPr="00907F58">
        <w:t xml:space="preserve">os individuos con niveles más </w:t>
      </w:r>
      <w:r>
        <w:t>elevados</w:t>
      </w:r>
      <w:r w:rsidR="00173B57" w:rsidRPr="00907F58">
        <w:t xml:space="preserve"> de bienestar evaluativo tienen más capacidad para proyectar su futuro (esta parte se relaciona con la perspectiva eudaimónica) que </w:t>
      </w:r>
      <w:r w:rsidR="00981A05">
        <w:t xml:space="preserve">otros </w:t>
      </w:r>
      <w:r w:rsidR="00173B57" w:rsidRPr="00907F58">
        <w:t>individuos con menores perspectivas de superación</w:t>
      </w:r>
      <w:r>
        <w:t>, los cuales</w:t>
      </w:r>
      <w:r w:rsidR="00173B57" w:rsidRPr="00907F58">
        <w:t xml:space="preserve"> se centran más en la experiencia diaria del bienestar, precisamente porque sus perspectivas de futuro son mucho menos seguras (lo que se relaciona estrechamente con la perspectiva hedónica) (</w:t>
      </w:r>
      <w:r w:rsidR="00173B57" w:rsidRPr="0091632B">
        <w:rPr>
          <w:rFonts w:eastAsia="Calibri"/>
        </w:rPr>
        <w:t xml:space="preserve">Adler </w:t>
      </w:r>
      <w:r w:rsidR="00173B57" w:rsidRPr="000360C2">
        <w:rPr>
          <w:rFonts w:eastAsia="Calibri"/>
          <w:i/>
        </w:rPr>
        <w:t>et al</w:t>
      </w:r>
      <w:r w:rsidR="00173B57" w:rsidRPr="0091632B">
        <w:rPr>
          <w:rFonts w:eastAsia="Calibri"/>
        </w:rPr>
        <w:t>.</w:t>
      </w:r>
      <w:r>
        <w:rPr>
          <w:rFonts w:eastAsia="Calibri"/>
        </w:rPr>
        <w:t>,</w:t>
      </w:r>
      <w:r w:rsidR="00173B57" w:rsidRPr="0091632B">
        <w:rPr>
          <w:rFonts w:eastAsia="Calibri"/>
        </w:rPr>
        <w:t xml:space="preserve"> 2013; </w:t>
      </w:r>
      <w:r w:rsidR="00173B57" w:rsidRPr="0091632B">
        <w:t>Adler, Dolan y Kavetsos, 2014).</w:t>
      </w:r>
    </w:p>
    <w:p w14:paraId="42A5AE1D" w14:textId="77777777" w:rsidR="00A56D4F" w:rsidRPr="00C42FA8" w:rsidRDefault="00A56D4F" w:rsidP="007E4B66">
      <w:pPr>
        <w:spacing w:after="0" w:line="360" w:lineRule="auto"/>
        <w:ind w:firstLine="709"/>
        <w:jc w:val="both"/>
      </w:pPr>
      <w:r w:rsidRPr="00C42FA8">
        <w:t xml:space="preserve">De acuerdo con </w:t>
      </w:r>
      <w:r w:rsidR="00981A05">
        <w:t xml:space="preserve">los </w:t>
      </w:r>
      <w:r w:rsidRPr="00C42FA8">
        <w:t xml:space="preserve">resultados de los trabajos citados, se han </w:t>
      </w:r>
      <w:r w:rsidR="000360C2">
        <w:t>efectuado</w:t>
      </w:r>
      <w:r w:rsidRPr="00C42FA8">
        <w:t xml:space="preserve"> </w:t>
      </w:r>
      <w:r w:rsidR="0076256F" w:rsidRPr="00C42FA8">
        <w:t xml:space="preserve">algunas </w:t>
      </w:r>
      <w:r w:rsidRPr="00C42FA8">
        <w:t>aplicaciones al campo laboral</w:t>
      </w:r>
      <w:r w:rsidR="000360C2">
        <w:t>,</w:t>
      </w:r>
      <w:r w:rsidR="0076256F" w:rsidRPr="00C42FA8">
        <w:t xml:space="preserve"> </w:t>
      </w:r>
      <w:r w:rsidRPr="00C42FA8">
        <w:t>sobre todo en sociedades estadounidense</w:t>
      </w:r>
      <w:r w:rsidR="00981A05">
        <w:t>s</w:t>
      </w:r>
      <w:r w:rsidRPr="00C42FA8">
        <w:t xml:space="preserve"> y europe</w:t>
      </w:r>
      <w:r w:rsidR="0076256F" w:rsidRPr="00C42FA8">
        <w:t>as</w:t>
      </w:r>
      <w:r w:rsidRPr="00C42FA8">
        <w:t xml:space="preserve"> a través de la gestión de mejoras para las condiciones laborales con resultados positivos. Sin embargo, también se ha pues</w:t>
      </w:r>
      <w:r w:rsidR="009836B8">
        <w:t xml:space="preserve">to en evidencia que el bienestar </w:t>
      </w:r>
      <w:r w:rsidR="009836B8" w:rsidRPr="00C42FA8">
        <w:t>no</w:t>
      </w:r>
      <w:r w:rsidR="000360C2">
        <w:t xml:space="preserve"> constituye so</w:t>
      </w:r>
      <w:r w:rsidRPr="00C42FA8">
        <w:t>lo aspectos</w:t>
      </w:r>
      <w:r w:rsidR="009836B8">
        <w:t xml:space="preserve"> objetivos como el salario o </w:t>
      </w:r>
      <w:r w:rsidR="000360C2">
        <w:t xml:space="preserve">el </w:t>
      </w:r>
      <w:r w:rsidR="009836B8">
        <w:t xml:space="preserve">acceso a servicios públicos, sino también </w:t>
      </w:r>
      <w:r w:rsidR="000360C2">
        <w:t>variables afectiva</w:t>
      </w:r>
      <w:r w:rsidRPr="00C42FA8">
        <w:t>s del ser humano</w:t>
      </w:r>
      <w:r w:rsidR="0076256F" w:rsidRPr="00C42FA8">
        <w:t>, ya</w:t>
      </w:r>
      <w:r w:rsidRPr="00C42FA8">
        <w:t xml:space="preserve"> que </w:t>
      </w:r>
      <w:r w:rsidR="00981A05">
        <w:t xml:space="preserve">se </w:t>
      </w:r>
      <w:r w:rsidRPr="00C42FA8">
        <w:t>deben considerar elementos cognitivos</w:t>
      </w:r>
      <w:r w:rsidR="00981A05">
        <w:t xml:space="preserve">, así como </w:t>
      </w:r>
      <w:r w:rsidRPr="00C42FA8">
        <w:t xml:space="preserve">la importancia que tiene para las personas definir el sentido de la vida y los factores necesarios para su crecimiento personal. </w:t>
      </w:r>
    </w:p>
    <w:p w14:paraId="69155DBB" w14:textId="77777777" w:rsidR="009D6A5A" w:rsidRDefault="000360C2" w:rsidP="009D6A5A">
      <w:pPr>
        <w:spacing w:after="0" w:line="360" w:lineRule="auto"/>
        <w:ind w:firstLine="709"/>
        <w:jc w:val="both"/>
      </w:pPr>
      <w:r>
        <w:lastRenderedPageBreak/>
        <w:t>Algunos e</w:t>
      </w:r>
      <w:r w:rsidR="00A56D4F" w:rsidRPr="00C42FA8">
        <w:t xml:space="preserve">studios analizan el papel que tiene el bienestar individual y colectivo, </w:t>
      </w:r>
      <w:r>
        <w:t xml:space="preserve">y han hallado </w:t>
      </w:r>
      <w:r w:rsidR="00A56D4F" w:rsidRPr="00C42FA8">
        <w:t xml:space="preserve">que el trabajo forma parte determinante de los elementos que lo componen. Peiró, Tordera, Lorente, Rodríguez y Ayala (2014) citan a Koopmans </w:t>
      </w:r>
      <w:r w:rsidR="00A56D4F" w:rsidRPr="00C42FA8">
        <w:rPr>
          <w:i/>
        </w:rPr>
        <w:t>et al</w:t>
      </w:r>
      <w:r>
        <w:rPr>
          <w:i/>
        </w:rPr>
        <w:t>.</w:t>
      </w:r>
      <w:r w:rsidR="00A56D4F" w:rsidRPr="00C42FA8">
        <w:t xml:space="preserve"> (2011), quienes demostraron, a través de 58 estudios sobre el rendimiento individual, que existen tres dimensiones generales del desempeño relacionadas con el bienestar: la primera se refiere a que el buen cumplimiento de la tarea tiene estrecha relación con la descripción del puesto y el dominio de la actividad laboral; la segunda, que el desempeño </w:t>
      </w:r>
      <w:r w:rsidR="009D6A5A">
        <w:t xml:space="preserve">puede estar condicionado por </w:t>
      </w:r>
      <w:r w:rsidR="00A56D4F" w:rsidRPr="00C42FA8">
        <w:t>el clima organizacional</w:t>
      </w:r>
      <w:r w:rsidR="009D6A5A">
        <w:t xml:space="preserve"> </w:t>
      </w:r>
      <w:r w:rsidR="002337F1">
        <w:t>(</w:t>
      </w:r>
      <w:r w:rsidR="009D6A5A">
        <w:t xml:space="preserve">de ahí que se consiga </w:t>
      </w:r>
      <w:r w:rsidR="00A56D4F" w:rsidRPr="00C42FA8">
        <w:t>un mejor desempeño en un buen clima</w:t>
      </w:r>
      <w:r w:rsidR="002337F1">
        <w:t xml:space="preserve"> laboral)</w:t>
      </w:r>
      <w:r w:rsidR="009D6A5A">
        <w:t>,</w:t>
      </w:r>
      <w:r w:rsidR="00A56D4F" w:rsidRPr="00C42FA8">
        <w:t xml:space="preserve"> y la tercera, los comportamientos contraproducentes en el trabajo </w:t>
      </w:r>
      <w:r w:rsidR="009D6A5A">
        <w:t xml:space="preserve">(p. ej., </w:t>
      </w:r>
      <w:r w:rsidR="00A56D4F" w:rsidRPr="00C42FA8">
        <w:t xml:space="preserve">el ausentismo, el robo o </w:t>
      </w:r>
      <w:r w:rsidR="009D6A5A">
        <w:t xml:space="preserve">el </w:t>
      </w:r>
      <w:r w:rsidR="00A56D4F" w:rsidRPr="00C42FA8">
        <w:t>abuso de sustancias</w:t>
      </w:r>
      <w:r w:rsidR="009D6A5A">
        <w:t>)</w:t>
      </w:r>
      <w:r w:rsidR="00A56D4F" w:rsidRPr="00C42FA8">
        <w:t xml:space="preserve"> </w:t>
      </w:r>
      <w:r w:rsidR="009D6A5A">
        <w:t>se vinculan</w:t>
      </w:r>
      <w:r w:rsidR="00A56D4F" w:rsidRPr="00C42FA8">
        <w:t xml:space="preserve"> con el desempeño</w:t>
      </w:r>
      <w:r w:rsidR="009D6A5A">
        <w:t xml:space="preserve"> y especialmente </w:t>
      </w:r>
      <w:r w:rsidR="00A56D4F" w:rsidRPr="00C42FA8">
        <w:t>con las deficiencias percibidas en el rubro de bienestar.</w:t>
      </w:r>
      <w:r w:rsidR="009D6A5A">
        <w:t xml:space="preserve"> Esto, en pocas palabras</w:t>
      </w:r>
      <w:r w:rsidR="00D50C32">
        <w:t>,</w:t>
      </w:r>
      <w:r w:rsidR="009D6A5A">
        <w:t xml:space="preserve"> significa </w:t>
      </w:r>
      <w:r w:rsidR="002337F1">
        <w:t xml:space="preserve">que </w:t>
      </w:r>
      <w:r w:rsidR="00A56D4F" w:rsidRPr="00C42FA8">
        <w:t xml:space="preserve">el ambiente laboral tiene un papel primordial en el logro </w:t>
      </w:r>
      <w:r w:rsidR="009D6A5A">
        <w:t>de la estabilidad</w:t>
      </w:r>
      <w:r w:rsidR="00A56D4F" w:rsidRPr="00C42FA8">
        <w:t xml:space="preserve">. </w:t>
      </w:r>
    </w:p>
    <w:p w14:paraId="73B9CEE9" w14:textId="77777777" w:rsidR="00A56D4F" w:rsidRPr="00C42FA8" w:rsidRDefault="00D50C32" w:rsidP="009D6A5A">
      <w:pPr>
        <w:spacing w:after="0" w:line="360" w:lineRule="auto"/>
        <w:ind w:firstLine="709"/>
        <w:jc w:val="both"/>
      </w:pPr>
      <w:r>
        <w:t xml:space="preserve">Sin embargo, la realidad demuestra que </w:t>
      </w:r>
      <w:r w:rsidR="00A56D4F" w:rsidRPr="00C42FA8">
        <w:t xml:space="preserve">la tendencia empresarial </w:t>
      </w:r>
      <w:r w:rsidR="00CA596A" w:rsidRPr="00C42FA8">
        <w:t>de los micro</w:t>
      </w:r>
      <w:r w:rsidR="002337F1">
        <w:t>empresarios</w:t>
      </w:r>
      <w:r w:rsidR="00CA596A" w:rsidRPr="00C42FA8">
        <w:t xml:space="preserve"> y pequeños empresarios </w:t>
      </w:r>
      <w:r w:rsidR="00A56D4F" w:rsidRPr="00C42FA8">
        <w:t xml:space="preserve">se orienta </w:t>
      </w:r>
      <w:r>
        <w:t xml:space="preserve">más en </w:t>
      </w:r>
      <w:r w:rsidR="00A56D4F" w:rsidRPr="00C42FA8">
        <w:t xml:space="preserve">la reducción indiscriminada de costos, lo que </w:t>
      </w:r>
      <w:r>
        <w:t xml:space="preserve">afecta </w:t>
      </w:r>
      <w:r w:rsidR="00A56D4F" w:rsidRPr="00C42FA8">
        <w:t>el bienestar de los colaboradores</w:t>
      </w:r>
      <w:r>
        <w:t xml:space="preserve"> y</w:t>
      </w:r>
      <w:r w:rsidR="00A56D4F" w:rsidRPr="00C42FA8">
        <w:t xml:space="preserve"> </w:t>
      </w:r>
      <w:r w:rsidR="009D6A5A">
        <w:t xml:space="preserve">ocasiona </w:t>
      </w:r>
      <w:r w:rsidR="00A56D4F" w:rsidRPr="00C42FA8">
        <w:t>bajo nivel de productividad y competitividad</w:t>
      </w:r>
      <w:r w:rsidR="00CA596A" w:rsidRPr="00C42FA8">
        <w:t xml:space="preserve"> (Peiró </w:t>
      </w:r>
      <w:r w:rsidR="00CA596A" w:rsidRPr="009D6A5A">
        <w:rPr>
          <w:i/>
        </w:rPr>
        <w:t>et al</w:t>
      </w:r>
      <w:r w:rsidR="009D6A5A">
        <w:t>.</w:t>
      </w:r>
      <w:r w:rsidR="00CA596A" w:rsidRPr="00C42FA8">
        <w:t>, 2014)</w:t>
      </w:r>
      <w:r w:rsidR="00A56D4F" w:rsidRPr="00C42FA8">
        <w:t>.</w:t>
      </w:r>
    </w:p>
    <w:p w14:paraId="3A43A3C6" w14:textId="77777777" w:rsidR="00CF52C3" w:rsidRPr="00C42FA8" w:rsidRDefault="00A56D4F" w:rsidP="00CF52C3">
      <w:pPr>
        <w:spacing w:after="0" w:line="360" w:lineRule="auto"/>
        <w:ind w:firstLine="709"/>
        <w:jc w:val="both"/>
      </w:pPr>
      <w:r w:rsidRPr="00C42FA8">
        <w:t xml:space="preserve">La ponderación de las variables descritas pone de relieve el papel del líder en la adecuada conducción de las </w:t>
      </w:r>
      <w:r w:rsidR="00D50C32" w:rsidRPr="00C42FA8">
        <w:t>mypes</w:t>
      </w:r>
      <w:r w:rsidRPr="00C42FA8">
        <w:t xml:space="preserve">. </w:t>
      </w:r>
      <w:r w:rsidR="00D50C32">
        <w:t>En efecto, e</w:t>
      </w:r>
      <w:r w:rsidRPr="00C42FA8">
        <w:t>s necesario contar con un liderazgo que redimensione el papel del bienestar en la gesti</w:t>
      </w:r>
      <w:r w:rsidR="00CA596A" w:rsidRPr="00C42FA8">
        <w:t>ón de capital humano</w:t>
      </w:r>
      <w:r w:rsidRPr="00C42FA8">
        <w:t xml:space="preserve"> como aliado estratégico de la productividad, el compromiso y el éxito empresarial.</w:t>
      </w:r>
    </w:p>
    <w:p w14:paraId="4FEEC8C2" w14:textId="77777777" w:rsidR="00AA2ED7" w:rsidRPr="00C42FA8" w:rsidRDefault="00A56D4F" w:rsidP="003A4527">
      <w:pPr>
        <w:spacing w:after="0" w:line="360" w:lineRule="auto"/>
        <w:ind w:firstLine="709"/>
        <w:jc w:val="both"/>
      </w:pPr>
      <w:r w:rsidRPr="00C42FA8">
        <w:t>La cultura del líder</w:t>
      </w:r>
      <w:r w:rsidR="00D50C32">
        <w:t xml:space="preserve"> y </w:t>
      </w:r>
      <w:r w:rsidR="00CA596A" w:rsidRPr="00C42FA8">
        <w:t>de los trabajadore</w:t>
      </w:r>
      <w:r w:rsidRPr="00C42FA8">
        <w:t xml:space="preserve">s, </w:t>
      </w:r>
      <w:r w:rsidR="00D50C32">
        <w:t xml:space="preserve">así como </w:t>
      </w:r>
      <w:r w:rsidRPr="00C42FA8">
        <w:t xml:space="preserve">las condiciones económicas y los recursos limitados </w:t>
      </w:r>
      <w:r w:rsidR="00D50C32">
        <w:t>—</w:t>
      </w:r>
      <w:r w:rsidRPr="00C42FA8">
        <w:t>como ya se mencionó</w:t>
      </w:r>
      <w:r w:rsidR="00D50C32">
        <w:t>—</w:t>
      </w:r>
      <w:r w:rsidRPr="00C42FA8">
        <w:t xml:space="preserve"> son factores de gran relevancia para enfatizar aspectos de gestión empresarial </w:t>
      </w:r>
      <w:r w:rsidR="00CA596A" w:rsidRPr="00C42FA8">
        <w:t>tanto</w:t>
      </w:r>
      <w:r w:rsidRPr="00C42FA8">
        <w:t xml:space="preserve"> cuantitativos</w:t>
      </w:r>
      <w:r w:rsidR="00CA596A" w:rsidRPr="00C42FA8">
        <w:t xml:space="preserve"> como cualitativos</w:t>
      </w:r>
      <w:r w:rsidRPr="00C42FA8">
        <w:t xml:space="preserve">, </w:t>
      </w:r>
      <w:r w:rsidR="00D50C32">
        <w:t>los cuales son considerados</w:t>
      </w:r>
      <w:r w:rsidRPr="00C42FA8">
        <w:t xml:space="preserve"> de valoración subjetiva.</w:t>
      </w:r>
      <w:r w:rsidR="00347509">
        <w:t xml:space="preserve"> </w:t>
      </w:r>
    </w:p>
    <w:p w14:paraId="16988E8D" w14:textId="77777777" w:rsidR="00CA596A" w:rsidRPr="00173B57" w:rsidRDefault="00D50C32" w:rsidP="00173B57">
      <w:pPr>
        <w:spacing w:after="0" w:line="360" w:lineRule="auto"/>
        <w:ind w:firstLine="709"/>
        <w:jc w:val="both"/>
        <w:rPr>
          <w:color w:val="000000"/>
        </w:rPr>
      </w:pPr>
      <w:r>
        <w:t>En medio de todas estas reflexiones,</w:t>
      </w:r>
      <w:r w:rsidR="00AA2ED7" w:rsidRPr="00C42FA8">
        <w:t xml:space="preserve"> el concepto de </w:t>
      </w:r>
      <w:r w:rsidR="00AA2ED7" w:rsidRPr="00D50C32">
        <w:rPr>
          <w:i/>
        </w:rPr>
        <w:t>capital humano</w:t>
      </w:r>
      <w:r w:rsidR="00AA2ED7" w:rsidRPr="00C42FA8">
        <w:t xml:space="preserve"> </w:t>
      </w:r>
      <w:r w:rsidR="00CA596A" w:rsidRPr="00C42FA8">
        <w:t xml:space="preserve">ha evolucionado </w:t>
      </w:r>
      <w:r w:rsidR="00DA007C">
        <w:t>progresivamente</w:t>
      </w:r>
      <w:r w:rsidR="00CA596A" w:rsidRPr="00C42FA8">
        <w:t xml:space="preserve"> </w:t>
      </w:r>
      <w:r w:rsidR="00AA2ED7" w:rsidRPr="00C42FA8">
        <w:t xml:space="preserve">con las aportaciones de </w:t>
      </w:r>
      <w:r w:rsidR="00DA007C">
        <w:t xml:space="preserve">autores como </w:t>
      </w:r>
      <w:r w:rsidR="00AA2ED7" w:rsidRPr="00C42FA8">
        <w:t>McKinsey, HayGroup, Byham, Chowanec</w:t>
      </w:r>
      <w:r w:rsidR="00DA007C">
        <w:t>,</w:t>
      </w:r>
      <w:r w:rsidR="00AA2ED7" w:rsidRPr="00C42FA8">
        <w:t xml:space="preserve"> Newstrom, Olsen, Hayasi y Dolan, entre otros citados por Castilla (2014), quien destaca </w:t>
      </w:r>
      <w:r w:rsidR="00DA007C">
        <w:t>en su trabajo el interés por evaluar</w:t>
      </w:r>
      <w:r w:rsidR="00AA2ED7" w:rsidRPr="00C42FA8">
        <w:t xml:space="preserve"> el papel que tiene </w:t>
      </w:r>
      <w:r w:rsidR="00DA007C" w:rsidRPr="00C42FA8">
        <w:t xml:space="preserve">la potenciación del factor humano </w:t>
      </w:r>
      <w:r w:rsidR="00AA2ED7" w:rsidRPr="00C42FA8">
        <w:t xml:space="preserve">en la dirección de empresas. </w:t>
      </w:r>
      <w:r w:rsidR="00CA596A" w:rsidRPr="00C42FA8">
        <w:t xml:space="preserve">Por otro </w:t>
      </w:r>
      <w:r w:rsidR="003A4527" w:rsidRPr="00C42FA8">
        <w:t>lado,</w:t>
      </w:r>
      <w:r w:rsidR="00CA596A" w:rsidRPr="00C42FA8">
        <w:t xml:space="preserve"> el</w:t>
      </w:r>
      <w:r w:rsidR="00AA2ED7" w:rsidRPr="00C42FA8">
        <w:t xml:space="preserve"> análisis académico acerca del concepto </w:t>
      </w:r>
      <w:r w:rsidR="00AA2ED7" w:rsidRPr="00DA007C">
        <w:rPr>
          <w:i/>
        </w:rPr>
        <w:t>bienestar</w:t>
      </w:r>
      <w:r w:rsidR="00AA2ED7" w:rsidRPr="00C42FA8">
        <w:t xml:space="preserve"> y su incidencia en la productividad ha tenido que romper con prejuicios, como señalan</w:t>
      </w:r>
      <w:r w:rsidR="00CA596A" w:rsidRPr="00C42FA8">
        <w:t xml:space="preserve"> Millán y Castellanos (2018</w:t>
      </w:r>
      <w:r w:rsidR="00AA2ED7" w:rsidRPr="00C42FA8">
        <w:t xml:space="preserve">). </w:t>
      </w:r>
    </w:p>
    <w:p w14:paraId="75A1630E" w14:textId="77777777" w:rsidR="00AA2ED7" w:rsidRPr="00C42FA8" w:rsidRDefault="00AA2ED7" w:rsidP="007E4B66">
      <w:pPr>
        <w:spacing w:after="0" w:line="360" w:lineRule="auto"/>
        <w:ind w:firstLine="708"/>
        <w:jc w:val="both"/>
      </w:pPr>
      <w:r w:rsidRPr="00C42FA8">
        <w:lastRenderedPageBreak/>
        <w:t>Las reticencias rebasan ese ámbito y también se hacen presentes en el ámbito empresarial, de tal modo que es necesario sensibilizar a líderes empresariales para que puedan apreciar y ponderar la importancia de las condiciones de bienestar de los empleados como factor sustantivo para</w:t>
      </w:r>
      <w:r w:rsidR="00CA596A" w:rsidRPr="00C42FA8">
        <w:t xml:space="preserve"> la retención del capital humano</w:t>
      </w:r>
      <w:r w:rsidRPr="00C42FA8">
        <w:t xml:space="preserve">, toda vez que se ha caído en la cuenta </w:t>
      </w:r>
      <w:r w:rsidR="00DA007C">
        <w:t>—</w:t>
      </w:r>
      <w:r w:rsidRPr="00C42FA8">
        <w:t>como señalan los citados investigadores</w:t>
      </w:r>
      <w:r w:rsidR="00DA007C">
        <w:t>—</w:t>
      </w:r>
      <w:r w:rsidRPr="00C42FA8">
        <w:t xml:space="preserve"> de que los seres humanos, sin importar su nivel jerárquico, involucran en sus actividades productivas factores de tipo emocional, afectivo y cognitivo.</w:t>
      </w:r>
    </w:p>
    <w:p w14:paraId="4B61F3E4" w14:textId="77777777" w:rsidR="00AA2ED7" w:rsidRPr="00C42FA8" w:rsidRDefault="00AA2ED7" w:rsidP="007E4B66">
      <w:pPr>
        <w:spacing w:after="0" w:line="360" w:lineRule="auto"/>
        <w:ind w:firstLine="708"/>
        <w:jc w:val="both"/>
      </w:pPr>
      <w:r w:rsidRPr="00C42FA8">
        <w:t>Lo antes mencionado es un tema que está ocupando las agendas de los organismos internacionales como la Organización para la Cooperación y el Desarrollo (OCDE, 2018), la Comisión Económica para América Latina y el Caribe (C</w:t>
      </w:r>
      <w:r w:rsidR="00DA007C" w:rsidRPr="00C42FA8">
        <w:t>epal</w:t>
      </w:r>
      <w:r w:rsidRPr="00C42FA8">
        <w:t xml:space="preserve">, 2018) y la Organización Internacional del Trabajo (OIT, 2018), entre otras que han </w:t>
      </w:r>
      <w:r w:rsidR="00DA007C">
        <w:t xml:space="preserve">percibido </w:t>
      </w:r>
      <w:r w:rsidRPr="00C42FA8">
        <w:t>la importancia del bienestar como factor de progreso y desarrollo social.</w:t>
      </w:r>
    </w:p>
    <w:p w14:paraId="07D64993" w14:textId="77777777" w:rsidR="00CA596A" w:rsidRPr="00C42FA8" w:rsidRDefault="00DA007C" w:rsidP="00DA007C">
      <w:pPr>
        <w:spacing w:after="0" w:line="360" w:lineRule="auto"/>
        <w:ind w:firstLine="708"/>
        <w:jc w:val="both"/>
      </w:pPr>
      <w:r>
        <w:t xml:space="preserve">Ahora bien, según </w:t>
      </w:r>
      <w:r w:rsidR="00AA2ED7" w:rsidRPr="00C42FA8">
        <w:t xml:space="preserve">Castellanos y Rojas </w:t>
      </w:r>
      <w:r>
        <w:t xml:space="preserve">(citados por </w:t>
      </w:r>
      <w:r w:rsidR="00AA2ED7" w:rsidRPr="00C42FA8">
        <w:t>Millán y Castellanos</w:t>
      </w:r>
      <w:r>
        <w:t>,</w:t>
      </w:r>
      <w:r w:rsidR="00B4315C">
        <w:t xml:space="preserve"> </w:t>
      </w:r>
      <w:r w:rsidR="00AA2ED7" w:rsidRPr="00C42FA8">
        <w:t xml:space="preserve">2018), </w:t>
      </w:r>
      <w:r>
        <w:t xml:space="preserve">el </w:t>
      </w:r>
      <w:r w:rsidR="00156A9F">
        <w:t>bienestar</w:t>
      </w:r>
      <w:r>
        <w:t xml:space="preserve"> </w:t>
      </w:r>
      <w:r w:rsidR="00AA2ED7" w:rsidRPr="00C42FA8">
        <w:t xml:space="preserve">puede ser de dos tipos: objetivo, el cual es determinado por aspectos de </w:t>
      </w:r>
      <w:r w:rsidR="00156A9F">
        <w:t>índole</w:t>
      </w:r>
      <w:r w:rsidR="00AA2ED7" w:rsidRPr="00C42FA8">
        <w:t xml:space="preserve"> material </w:t>
      </w:r>
      <w:r w:rsidR="00156A9F">
        <w:t xml:space="preserve">(es decir, </w:t>
      </w:r>
      <w:r w:rsidR="00AA2ED7" w:rsidRPr="00C42FA8">
        <w:t>recurso</w:t>
      </w:r>
      <w:r w:rsidR="00156A9F">
        <w:t>s</w:t>
      </w:r>
      <w:r w:rsidR="00AA2ED7" w:rsidRPr="00C42FA8">
        <w:t xml:space="preserve"> económico</w:t>
      </w:r>
      <w:r w:rsidR="00156A9F">
        <w:t>s</w:t>
      </w:r>
      <w:r w:rsidR="00AA2ED7" w:rsidRPr="00C42FA8">
        <w:t xml:space="preserve"> necesario</w:t>
      </w:r>
      <w:r w:rsidR="00156A9F">
        <w:t>s</w:t>
      </w:r>
      <w:r w:rsidR="00AA2ED7" w:rsidRPr="00C42FA8">
        <w:t xml:space="preserve"> para cubrir las necesidades de vida, tales como el acceso a los sistemas públicos de salud, la educación, </w:t>
      </w:r>
      <w:r w:rsidR="00156A9F">
        <w:t xml:space="preserve">el </w:t>
      </w:r>
      <w:r w:rsidR="00AA2ED7" w:rsidRPr="00C42FA8">
        <w:t>trabajo digno</w:t>
      </w:r>
      <w:r w:rsidR="00156A9F">
        <w:t>, etc.),</w:t>
      </w:r>
      <w:r w:rsidR="00AA2ED7" w:rsidRPr="00C42FA8">
        <w:t xml:space="preserve"> y el bienestar subjetivo, el cual genera mayores indicadores de calidad en la vida de las personas</w:t>
      </w:r>
      <w:r w:rsidR="00156A9F">
        <w:t xml:space="preserve"> —aunque</w:t>
      </w:r>
      <w:r w:rsidR="00AA2ED7" w:rsidRPr="00C42FA8">
        <w:t xml:space="preserve"> no </w:t>
      </w:r>
      <w:r w:rsidR="00156A9F">
        <w:t>tenga</w:t>
      </w:r>
      <w:r w:rsidR="00AA2ED7" w:rsidRPr="00C42FA8">
        <w:t xml:space="preserve"> que ver precisamente con las cuestiones materiales, </w:t>
      </w:r>
      <w:r w:rsidR="002337F1">
        <w:t xml:space="preserve">a </w:t>
      </w:r>
      <w:r w:rsidR="00156A9F">
        <w:t xml:space="preserve">pesar de que </w:t>
      </w:r>
      <w:r w:rsidR="00AA2ED7" w:rsidRPr="00C42FA8">
        <w:t>esta</w:t>
      </w:r>
      <w:r w:rsidR="00156A9F">
        <w:t xml:space="preserve">s impacten de forma significativa en las otras—, y </w:t>
      </w:r>
      <w:r w:rsidR="00D0515D">
        <w:t xml:space="preserve">se asocian </w:t>
      </w:r>
      <w:r w:rsidR="00AA2ED7" w:rsidRPr="00C42FA8">
        <w:t xml:space="preserve">de modo directo </w:t>
      </w:r>
      <w:r w:rsidR="00D0515D">
        <w:t>con</w:t>
      </w:r>
      <w:r w:rsidR="00AA2ED7" w:rsidRPr="00C42FA8">
        <w:t xml:space="preserve"> la satisfacción, la felicidad con la vida y la plenitud, </w:t>
      </w:r>
      <w:r w:rsidR="00D0515D">
        <w:t xml:space="preserve">para lo cual se valúan </w:t>
      </w:r>
      <w:r w:rsidR="00AA2ED7" w:rsidRPr="00C42FA8">
        <w:t xml:space="preserve">aspectos como las relaciones sociales, el sentido y </w:t>
      </w:r>
      <w:r w:rsidR="00D0515D">
        <w:t xml:space="preserve">el </w:t>
      </w:r>
      <w:r w:rsidR="00AA2ED7" w:rsidRPr="00C42FA8">
        <w:t>propósito.</w:t>
      </w:r>
      <w:r w:rsidR="00CA596A" w:rsidRPr="00C42FA8">
        <w:t xml:space="preserve"> </w:t>
      </w:r>
    </w:p>
    <w:p w14:paraId="42D1346A" w14:textId="77777777" w:rsidR="00AA2ED7" w:rsidRPr="00C42FA8" w:rsidRDefault="00D0515D" w:rsidP="00790F6E">
      <w:pPr>
        <w:spacing w:after="0" w:line="360" w:lineRule="auto"/>
        <w:ind w:firstLine="708"/>
        <w:jc w:val="both"/>
      </w:pPr>
      <w:r>
        <w:t xml:space="preserve">Al respecto, diversos autores señalan </w:t>
      </w:r>
      <w:r w:rsidR="00AA2ED7" w:rsidRPr="00C42FA8">
        <w:t xml:space="preserve">que </w:t>
      </w:r>
      <w:r>
        <w:t xml:space="preserve">cada vez es más importante evaluar diversas variables, además de </w:t>
      </w:r>
      <w:r w:rsidRPr="00C42FA8">
        <w:t>los indicadores económicos</w:t>
      </w:r>
      <w:r>
        <w:t xml:space="preserve">, para </w:t>
      </w:r>
      <w:r w:rsidR="00AA2ED7" w:rsidRPr="00C42FA8">
        <w:t xml:space="preserve">medir el progreso y </w:t>
      </w:r>
      <w:r>
        <w:t xml:space="preserve">el </w:t>
      </w:r>
      <w:r w:rsidR="00AA2ED7" w:rsidRPr="00C42FA8">
        <w:t xml:space="preserve">desarrollo </w:t>
      </w:r>
      <w:r>
        <w:t xml:space="preserve">de las empresas. </w:t>
      </w:r>
      <w:r w:rsidR="00AA2ED7" w:rsidRPr="00C42FA8">
        <w:t>Moreno e Ibarra (2017)</w:t>
      </w:r>
      <w:r>
        <w:t>, por ejemplo,</w:t>
      </w:r>
      <w:r w:rsidR="00AA2ED7" w:rsidRPr="00C42FA8">
        <w:t xml:space="preserve"> </w:t>
      </w:r>
      <w:r w:rsidR="00790F6E">
        <w:t xml:space="preserve">usan </w:t>
      </w:r>
      <w:r w:rsidR="00AA2ED7" w:rsidRPr="00C42FA8">
        <w:t xml:space="preserve">una escala de felicidad </w:t>
      </w:r>
      <w:r w:rsidR="00790F6E">
        <w:t>para</w:t>
      </w:r>
      <w:r w:rsidR="00AA2ED7" w:rsidRPr="00C42FA8">
        <w:t xml:space="preserve"> trabajadores de empresas de servicio</w:t>
      </w:r>
      <w:r w:rsidR="00790F6E">
        <w:t xml:space="preserve">, la cual les permitió confirmar que el </w:t>
      </w:r>
      <w:r w:rsidR="00790F6E" w:rsidRPr="00C42FA8">
        <w:t xml:space="preserve">estado de bienestar tiene relación directa con el nivel de desempeño </w:t>
      </w:r>
      <w:r w:rsidR="00790F6E">
        <w:t xml:space="preserve">de los trabajadores o empleados, de ahí que sugieran </w:t>
      </w:r>
      <w:r w:rsidR="00AA2ED7" w:rsidRPr="00C42FA8">
        <w:t xml:space="preserve">crear espacios en </w:t>
      </w:r>
      <w:r w:rsidR="003A4527" w:rsidRPr="00C42FA8">
        <w:t xml:space="preserve">donde </w:t>
      </w:r>
      <w:r w:rsidR="00CA596A" w:rsidRPr="00C42FA8">
        <w:t xml:space="preserve">se fomenten </w:t>
      </w:r>
      <w:r w:rsidR="00AA2ED7" w:rsidRPr="00C42FA8">
        <w:t xml:space="preserve">las emociones positivas y el fortalecimiento de relaciones sociales, así como el significado superior en el trabajo. </w:t>
      </w:r>
    </w:p>
    <w:p w14:paraId="6ED4A032" w14:textId="77777777" w:rsidR="0091632B" w:rsidRDefault="00790F6E" w:rsidP="00790F6E">
      <w:pPr>
        <w:spacing w:after="0" w:line="360" w:lineRule="auto"/>
        <w:ind w:firstLine="708"/>
        <w:jc w:val="both"/>
      </w:pPr>
      <w:r>
        <w:t xml:space="preserve">En cuanto al contexto mexicano, resulta ilustrativa la investigación de </w:t>
      </w:r>
      <w:r w:rsidR="00AA2ED7" w:rsidRPr="00C42FA8">
        <w:t xml:space="preserve">Millán y Castellanos (2018), </w:t>
      </w:r>
      <w:r>
        <w:t xml:space="preserve">quienes consideran que en el país </w:t>
      </w:r>
      <w:r w:rsidR="003C200F" w:rsidRPr="00C42FA8">
        <w:t xml:space="preserve">se ha efectuado de manera errónea </w:t>
      </w:r>
      <w:r w:rsidR="00AA2ED7" w:rsidRPr="00C42FA8">
        <w:t>la medición del bienestar</w:t>
      </w:r>
      <w:r w:rsidR="003C200F">
        <w:t>,</w:t>
      </w:r>
      <w:r w:rsidR="00605FFE" w:rsidRPr="00C42FA8">
        <w:t xml:space="preserve"> </w:t>
      </w:r>
      <w:r w:rsidR="003C200F">
        <w:t xml:space="preserve">pues se han tomado como referencia </w:t>
      </w:r>
      <w:r w:rsidR="00AA2ED7" w:rsidRPr="00C42FA8">
        <w:t xml:space="preserve">variables o indicadores de carácter socioeconómico, tales como el índice </w:t>
      </w:r>
      <w:r w:rsidR="003C200F" w:rsidRPr="00C42FA8">
        <w:t xml:space="preserve">de desarrollo humano o el índice de </w:t>
      </w:r>
      <w:r w:rsidR="003C200F" w:rsidRPr="00C42FA8">
        <w:lastRenderedPageBreak/>
        <w:t>marginación y pobreza</w:t>
      </w:r>
      <w:r w:rsidR="00AA2ED7" w:rsidRPr="00C42FA8">
        <w:t xml:space="preserve">, los cuales </w:t>
      </w:r>
      <w:r w:rsidR="003C200F">
        <w:t xml:space="preserve">se enfocan en conocer el </w:t>
      </w:r>
      <w:r w:rsidR="00AA2ED7" w:rsidRPr="00C42FA8">
        <w:t xml:space="preserve">bienestar </w:t>
      </w:r>
      <w:r w:rsidR="003C200F">
        <w:t xml:space="preserve">de las personas según el acceso que tengan o no a indicadores como </w:t>
      </w:r>
      <w:r w:rsidR="00AA2ED7" w:rsidRPr="00C42FA8">
        <w:t>vivienda, automóvil, computadora, teléfono celular, Internet, etc.</w:t>
      </w:r>
      <w:r w:rsidR="0091632B">
        <w:t xml:space="preserve"> </w:t>
      </w:r>
      <w:r w:rsidR="003C200F">
        <w:t xml:space="preserve">Al respecto, estos autores </w:t>
      </w:r>
      <w:r w:rsidR="00AA2ED7" w:rsidRPr="00C42FA8">
        <w:t>considera</w:t>
      </w:r>
      <w:r w:rsidR="003C200F">
        <w:t>n</w:t>
      </w:r>
      <w:r w:rsidR="00AA2ED7" w:rsidRPr="00C42FA8">
        <w:t xml:space="preserve"> que </w:t>
      </w:r>
      <w:r w:rsidR="003C200F">
        <w:t xml:space="preserve">dichas variables </w:t>
      </w:r>
      <w:r w:rsidR="00605FFE" w:rsidRPr="00C42FA8">
        <w:t>son incompletas</w:t>
      </w:r>
      <w:r w:rsidR="003C200F">
        <w:t xml:space="preserve"> porque no </w:t>
      </w:r>
      <w:r w:rsidR="00AA2ED7" w:rsidRPr="00C42FA8">
        <w:t>incluye</w:t>
      </w:r>
      <w:r w:rsidR="003C200F">
        <w:t>n</w:t>
      </w:r>
      <w:r w:rsidR="00AA2ED7" w:rsidRPr="00C42FA8">
        <w:t xml:space="preserve"> la valoración que las personas tienen de sus vidas, pensamientos y sentimientos. </w:t>
      </w:r>
    </w:p>
    <w:p w14:paraId="6E128843" w14:textId="77777777" w:rsidR="00A56D4F" w:rsidRDefault="003C200F" w:rsidP="007E4B66">
      <w:pPr>
        <w:spacing w:after="0" w:line="360" w:lineRule="auto"/>
        <w:ind w:firstLine="708"/>
        <w:jc w:val="both"/>
      </w:pPr>
      <w:r w:rsidRPr="00C42FA8">
        <w:t>Millán y Castellanos (2018)</w:t>
      </w:r>
      <w:r>
        <w:t xml:space="preserve"> e</w:t>
      </w:r>
      <w:r w:rsidR="00AA2ED7" w:rsidRPr="00C42FA8">
        <w:t>nfatiza</w:t>
      </w:r>
      <w:r>
        <w:t xml:space="preserve">n </w:t>
      </w:r>
      <w:r w:rsidR="00AA2ED7" w:rsidRPr="00C42FA8">
        <w:t xml:space="preserve">que los factores socioeconómicos no pueden ser medulares para la medición del bienestar, porque si ese fuera el parámetro sería factible suponer que una nación con un mayor </w:t>
      </w:r>
      <w:r w:rsidRPr="00C42FA8">
        <w:t xml:space="preserve">producto interno bruto </w:t>
      </w:r>
      <w:r w:rsidR="00AA2ED7" w:rsidRPr="00C42FA8">
        <w:t>(PIB) tendría una población con mayores niveles de bienestar, lo cual no ha sido avalado en ponderaciones específicas. Precisa</w:t>
      </w:r>
      <w:r>
        <w:t>n los citados investigadores</w:t>
      </w:r>
      <w:r w:rsidR="00AA2ED7" w:rsidRPr="00C42FA8">
        <w:t xml:space="preserve"> que mediciones efectuadas en China hacia el año 2000 desmintieron </w:t>
      </w:r>
      <w:r w:rsidR="001A105C">
        <w:t xml:space="preserve">esa teoría, pues se demostró </w:t>
      </w:r>
      <w:r w:rsidR="00AA2ED7" w:rsidRPr="00C42FA8">
        <w:t>que</w:t>
      </w:r>
      <w:r w:rsidR="001A105C">
        <w:t xml:space="preserve"> en esa nación </w:t>
      </w:r>
      <w:r w:rsidR="00AA2ED7" w:rsidRPr="00C42FA8">
        <w:t xml:space="preserve">algunos incrementos del PIB </w:t>
      </w:r>
      <w:r w:rsidR="001A105C">
        <w:t xml:space="preserve">podían </w:t>
      </w:r>
      <w:r w:rsidR="00AA2ED7" w:rsidRPr="00C42FA8">
        <w:t>reducir los niveles de satisfacción re</w:t>
      </w:r>
      <w:r w:rsidR="00605FFE" w:rsidRPr="00C42FA8">
        <w:t xml:space="preserve">portados por </w:t>
      </w:r>
      <w:r w:rsidR="001A105C">
        <w:t>su</w:t>
      </w:r>
      <w:r w:rsidR="00605FFE" w:rsidRPr="00C42FA8">
        <w:t xml:space="preserve"> población</w:t>
      </w:r>
      <w:r w:rsidR="00AA2ED7" w:rsidRPr="00C42FA8">
        <w:t>.</w:t>
      </w:r>
      <w:r w:rsidR="001A105C">
        <w:t xml:space="preserve"> </w:t>
      </w:r>
      <w:r w:rsidR="00605FFE" w:rsidRPr="00C42FA8">
        <w:t>P</w:t>
      </w:r>
      <w:r w:rsidR="00AA2ED7" w:rsidRPr="00C42FA8">
        <w:t>or ello, subraya</w:t>
      </w:r>
      <w:r w:rsidR="001A105C">
        <w:t>n</w:t>
      </w:r>
      <w:r w:rsidR="00AA2ED7" w:rsidRPr="00C42FA8">
        <w:t xml:space="preserve"> que el incremento de ingresos no se traduce necesariamente en un </w:t>
      </w:r>
      <w:r w:rsidR="006D43FA">
        <w:t>aumento</w:t>
      </w:r>
      <w:r w:rsidR="00AA2ED7" w:rsidRPr="00C42FA8">
        <w:t xml:space="preserve"> del bienestar, porque este impl</w:t>
      </w:r>
      <w:r w:rsidR="00605FFE" w:rsidRPr="00C42FA8">
        <w:t xml:space="preserve">ica </w:t>
      </w:r>
      <w:r w:rsidR="00AA2ED7" w:rsidRPr="00C42FA8">
        <w:t>satisfacción y condi</w:t>
      </w:r>
      <w:r w:rsidR="00605FFE" w:rsidRPr="00C42FA8">
        <w:t>ciones cognitivas y emocionales</w:t>
      </w:r>
      <w:r w:rsidR="00AA2ED7" w:rsidRPr="00C42FA8">
        <w:t>, aspectos no valorados por el enfoque socioeconómico del bienestar.</w:t>
      </w:r>
    </w:p>
    <w:p w14:paraId="580253F8" w14:textId="77777777" w:rsidR="003A4527" w:rsidRPr="00C42FA8" w:rsidRDefault="001A105C" w:rsidP="003A4527">
      <w:pPr>
        <w:pStyle w:val="NormalWeb"/>
        <w:spacing w:before="0" w:beforeAutospacing="0" w:after="0" w:afterAutospacing="0" w:line="360" w:lineRule="auto"/>
        <w:ind w:firstLine="700"/>
        <w:jc w:val="both"/>
      </w:pPr>
      <w:r>
        <w:t>En efecto, a</w:t>
      </w:r>
      <w:r w:rsidR="00C92D11" w:rsidRPr="00C42FA8">
        <w:t xml:space="preserve"> las empresas les interesa </w:t>
      </w:r>
      <w:r>
        <w:t xml:space="preserve">principalmente </w:t>
      </w:r>
      <w:r w:rsidR="00C92D11" w:rsidRPr="00C42FA8">
        <w:t xml:space="preserve">atender el tema relacionado </w:t>
      </w:r>
      <w:r>
        <w:t xml:space="preserve">con </w:t>
      </w:r>
      <w:r w:rsidR="00C92D11" w:rsidRPr="00C42FA8">
        <w:t xml:space="preserve">el bienestar debido a que existen alarmantes estadísticas que </w:t>
      </w:r>
      <w:r w:rsidR="006D43FA">
        <w:t>asocian este</w:t>
      </w:r>
      <w:r w:rsidR="00C92D11" w:rsidRPr="00C42FA8">
        <w:t xml:space="preserve"> problema con los costos </w:t>
      </w:r>
      <w:r w:rsidR="006D43FA">
        <w:t>ocasionados por</w:t>
      </w:r>
      <w:r w:rsidR="00C92D11" w:rsidRPr="00C42FA8">
        <w:t xml:space="preserve"> enfermedades cada vez más recurrentes</w:t>
      </w:r>
      <w:r>
        <w:t>,</w:t>
      </w:r>
      <w:r w:rsidR="00C92D11" w:rsidRPr="00C42FA8">
        <w:t xml:space="preserve"> como depresión, trastornos digestivos </w:t>
      </w:r>
      <w:r w:rsidR="006D43FA">
        <w:t>vinculados</w:t>
      </w:r>
      <w:r w:rsidR="00C92D11" w:rsidRPr="00C42FA8">
        <w:t xml:space="preserve"> </w:t>
      </w:r>
      <w:r w:rsidR="006D43FA">
        <w:t>con e</w:t>
      </w:r>
      <w:r w:rsidR="00C92D11" w:rsidRPr="00C42FA8">
        <w:t>l estrés</w:t>
      </w:r>
      <w:r>
        <w:t xml:space="preserve"> y</w:t>
      </w:r>
      <w:r w:rsidR="00C92D11" w:rsidRPr="00C42FA8">
        <w:t xml:space="preserve"> ausentismo</w:t>
      </w:r>
      <w:r>
        <w:t xml:space="preserve"> laboral</w:t>
      </w:r>
      <w:r w:rsidR="00C92D11" w:rsidRPr="00C42FA8">
        <w:t xml:space="preserve">, </w:t>
      </w:r>
      <w:r>
        <w:t xml:space="preserve">lo cual </w:t>
      </w:r>
      <w:r w:rsidR="00C92D11" w:rsidRPr="00C42FA8">
        <w:t xml:space="preserve">les está </w:t>
      </w:r>
      <w:r w:rsidR="006D43FA">
        <w:t>generando</w:t>
      </w:r>
      <w:r w:rsidR="00C92D11" w:rsidRPr="00C42FA8">
        <w:t xml:space="preserve"> grandes </w:t>
      </w:r>
      <w:r w:rsidR="006D43FA">
        <w:t>pérdidas económicas</w:t>
      </w:r>
      <w:r>
        <w:t xml:space="preserve"> a las empresas</w:t>
      </w:r>
      <w:r w:rsidR="00C92D11" w:rsidRPr="00C42FA8">
        <w:t xml:space="preserve">, </w:t>
      </w:r>
      <w:r>
        <w:t xml:space="preserve">fenómeno que </w:t>
      </w:r>
      <w:r w:rsidR="00C92D11" w:rsidRPr="00C42FA8">
        <w:t xml:space="preserve">para </w:t>
      </w:r>
      <w:r>
        <w:t>las</w:t>
      </w:r>
      <w:r w:rsidR="00C92D11" w:rsidRPr="00C42FA8">
        <w:t xml:space="preserve"> </w:t>
      </w:r>
      <w:r w:rsidRPr="00C42FA8">
        <w:t>mype</w:t>
      </w:r>
      <w:r>
        <w:t>s</w:t>
      </w:r>
      <w:r w:rsidRPr="00C42FA8">
        <w:t xml:space="preserve"> </w:t>
      </w:r>
      <w:r w:rsidR="003A4527" w:rsidRPr="00C42FA8">
        <w:t>puede ser catastrófico</w:t>
      </w:r>
      <w:r w:rsidR="00C92D11" w:rsidRPr="00C42FA8">
        <w:t xml:space="preserve"> (Dagenais-Desmarais y Savoie, 2012).</w:t>
      </w:r>
      <w:r w:rsidR="003A4527" w:rsidRPr="00C42FA8">
        <w:t xml:space="preserve"> </w:t>
      </w:r>
    </w:p>
    <w:p w14:paraId="6C5C4501" w14:textId="77777777" w:rsidR="00FE3B4F" w:rsidRPr="00C42FA8" w:rsidRDefault="00FE3B4F" w:rsidP="00FE3B4F">
      <w:pPr>
        <w:spacing w:after="0" w:line="360" w:lineRule="auto"/>
        <w:ind w:firstLine="708"/>
        <w:jc w:val="both"/>
        <w:rPr>
          <w:color w:val="000000"/>
          <w:shd w:val="clear" w:color="auto" w:fill="FFFFFF"/>
        </w:rPr>
      </w:pPr>
      <w:r w:rsidRPr="00C42FA8">
        <w:rPr>
          <w:color w:val="000000"/>
          <w:shd w:val="clear" w:color="auto" w:fill="FFFFFF"/>
        </w:rPr>
        <w:t>Por su parte</w:t>
      </w:r>
      <w:r w:rsidR="001A105C">
        <w:rPr>
          <w:color w:val="000000"/>
          <w:shd w:val="clear" w:color="auto" w:fill="FFFFFF"/>
        </w:rPr>
        <w:t>,</w:t>
      </w:r>
      <w:r w:rsidRPr="00C42FA8">
        <w:rPr>
          <w:color w:val="000000"/>
          <w:shd w:val="clear" w:color="auto" w:fill="FFFFFF"/>
        </w:rPr>
        <w:t xml:space="preserve"> Dagenais-Desmarais y Sav</w:t>
      </w:r>
      <w:r w:rsidR="00230E22" w:rsidRPr="00C42FA8">
        <w:rPr>
          <w:color w:val="000000"/>
          <w:shd w:val="clear" w:color="auto" w:fill="FFFFFF"/>
        </w:rPr>
        <w:t>o</w:t>
      </w:r>
      <w:r w:rsidRPr="00C42FA8">
        <w:rPr>
          <w:color w:val="000000"/>
          <w:shd w:val="clear" w:color="auto" w:fill="FFFFFF"/>
        </w:rPr>
        <w:t xml:space="preserve">ie (2012) </w:t>
      </w:r>
      <w:r w:rsidR="00932D43">
        <w:rPr>
          <w:color w:val="000000"/>
          <w:shd w:val="clear" w:color="auto" w:fill="FFFFFF"/>
        </w:rPr>
        <w:t>ofrecen</w:t>
      </w:r>
      <w:r w:rsidRPr="00C42FA8">
        <w:rPr>
          <w:color w:val="000000"/>
          <w:shd w:val="clear" w:color="auto" w:fill="FFFFFF"/>
        </w:rPr>
        <w:t xml:space="preserve"> un modelo del </w:t>
      </w:r>
      <w:r w:rsidR="00932D43" w:rsidRPr="00C42FA8">
        <w:rPr>
          <w:color w:val="000000"/>
          <w:shd w:val="clear" w:color="auto" w:fill="FFFFFF"/>
        </w:rPr>
        <w:t xml:space="preserve">bienestar psicológico en el trabajo </w:t>
      </w:r>
      <w:r w:rsidR="00932D43">
        <w:rPr>
          <w:color w:val="000000"/>
          <w:shd w:val="clear" w:color="auto" w:fill="FFFFFF"/>
        </w:rPr>
        <w:t>basado</w:t>
      </w:r>
      <w:r w:rsidRPr="00C42FA8">
        <w:rPr>
          <w:color w:val="000000"/>
          <w:shd w:val="clear" w:color="auto" w:fill="FFFFFF"/>
        </w:rPr>
        <w:t xml:space="preserve"> </w:t>
      </w:r>
      <w:r w:rsidR="00932D43">
        <w:rPr>
          <w:color w:val="000000"/>
          <w:shd w:val="clear" w:color="auto" w:fill="FFFFFF"/>
        </w:rPr>
        <w:t xml:space="preserve">en </w:t>
      </w:r>
      <w:r w:rsidRPr="00C42FA8">
        <w:rPr>
          <w:color w:val="000000"/>
          <w:shd w:val="clear" w:color="auto" w:fill="FFFFFF"/>
        </w:rPr>
        <w:t>cómo se ha desarrollado el marco teórico de referencia</w:t>
      </w:r>
      <w:r w:rsidR="00347509">
        <w:rPr>
          <w:color w:val="000000"/>
          <w:shd w:val="clear" w:color="auto" w:fill="FFFFFF"/>
        </w:rPr>
        <w:t xml:space="preserve"> </w:t>
      </w:r>
      <w:r w:rsidRPr="00C42FA8">
        <w:rPr>
          <w:color w:val="000000"/>
          <w:shd w:val="clear" w:color="auto" w:fill="FFFFFF"/>
        </w:rPr>
        <w:t xml:space="preserve">sobre los enfoques que han prevalecido en la investigación y en la forma en que se han abordado para adaptarlos </w:t>
      </w:r>
      <w:r w:rsidR="00932D43">
        <w:rPr>
          <w:color w:val="000000"/>
          <w:shd w:val="clear" w:color="auto" w:fill="FFFFFF"/>
        </w:rPr>
        <w:t xml:space="preserve">a los estudios organizacionales. Estos autores </w:t>
      </w:r>
      <w:r w:rsidRPr="00C42FA8">
        <w:rPr>
          <w:color w:val="000000"/>
          <w:shd w:val="clear" w:color="auto" w:fill="FFFFFF"/>
        </w:rPr>
        <w:t xml:space="preserve">han </w:t>
      </w:r>
      <w:r w:rsidR="00932D43">
        <w:rPr>
          <w:color w:val="000000"/>
          <w:shd w:val="clear" w:color="auto" w:fill="FFFFFF"/>
        </w:rPr>
        <w:t>propuesto</w:t>
      </w:r>
      <w:r w:rsidRPr="00C42FA8">
        <w:rPr>
          <w:color w:val="000000"/>
          <w:shd w:val="clear" w:color="auto" w:fill="FFFFFF"/>
        </w:rPr>
        <w:t xml:space="preserve"> </w:t>
      </w:r>
      <w:r w:rsidR="00932D43">
        <w:rPr>
          <w:color w:val="000000"/>
          <w:shd w:val="clear" w:color="auto" w:fill="FFFFFF"/>
        </w:rPr>
        <w:t>los siguientes cinco</w:t>
      </w:r>
      <w:r w:rsidRPr="00C42FA8">
        <w:rPr>
          <w:color w:val="000000"/>
          <w:shd w:val="clear" w:color="auto" w:fill="FFFFFF"/>
        </w:rPr>
        <w:t xml:space="preserve"> factores </w:t>
      </w:r>
      <w:r w:rsidR="00932D43">
        <w:rPr>
          <w:color w:val="000000"/>
          <w:shd w:val="clear" w:color="auto" w:fill="FFFFFF"/>
        </w:rPr>
        <w:t xml:space="preserve">para determinar </w:t>
      </w:r>
      <w:r w:rsidRPr="00C42FA8">
        <w:rPr>
          <w:color w:val="000000"/>
          <w:shd w:val="clear" w:color="auto" w:fill="FFFFFF"/>
        </w:rPr>
        <w:t>el bienestar psicológico en el dominio laboral</w:t>
      </w:r>
      <w:r w:rsidR="00932D43">
        <w:rPr>
          <w:color w:val="000000"/>
          <w:shd w:val="clear" w:color="auto" w:fill="FFFFFF"/>
        </w:rPr>
        <w:t>:</w:t>
      </w:r>
      <w:r w:rsidRPr="00C42FA8">
        <w:rPr>
          <w:color w:val="000000"/>
          <w:shd w:val="clear" w:color="auto" w:fill="FFFFFF"/>
        </w:rPr>
        <w:t xml:space="preserve"> ajuste interpersonal en el trabajo, prosperidad laboral, sentimiento de competencia, deseo de participación y percepción de reconocimiento en el trabajo. </w:t>
      </w:r>
      <w:r w:rsidR="00932D43">
        <w:rPr>
          <w:color w:val="000000"/>
          <w:shd w:val="clear" w:color="auto" w:fill="FFFFFF"/>
        </w:rPr>
        <w:t xml:space="preserve">Para dicha propuesta los citados autores se han basado en las principales </w:t>
      </w:r>
      <w:r w:rsidRPr="00C42FA8">
        <w:rPr>
          <w:color w:val="000000"/>
          <w:shd w:val="clear" w:color="auto" w:fill="FFFFFF"/>
        </w:rPr>
        <w:t xml:space="preserve">escalas </w:t>
      </w:r>
      <w:r w:rsidR="00932D43">
        <w:rPr>
          <w:color w:val="000000"/>
          <w:shd w:val="clear" w:color="auto" w:fill="FFFFFF"/>
        </w:rPr>
        <w:t xml:space="preserve">validadas y aceptadas en otros trabajos, como </w:t>
      </w:r>
      <w:r w:rsidRPr="00C42FA8">
        <w:rPr>
          <w:color w:val="000000"/>
          <w:shd w:val="clear" w:color="auto" w:fill="FFFFFF"/>
        </w:rPr>
        <w:t xml:space="preserve">el </w:t>
      </w:r>
      <w:r w:rsidR="00932D43" w:rsidRPr="00C42FA8">
        <w:rPr>
          <w:color w:val="000000"/>
          <w:shd w:val="clear" w:color="auto" w:fill="FFFFFF"/>
        </w:rPr>
        <w:t xml:space="preserve">índice de bienestar psicológico </w:t>
      </w:r>
      <w:r w:rsidR="00932D43">
        <w:rPr>
          <w:color w:val="000000"/>
          <w:shd w:val="clear" w:color="auto" w:fill="FFFFFF"/>
        </w:rPr>
        <w:t xml:space="preserve">usado </w:t>
      </w:r>
      <w:r w:rsidR="00932D43" w:rsidRPr="00C42FA8">
        <w:rPr>
          <w:color w:val="000000"/>
          <w:shd w:val="clear" w:color="auto" w:fill="FFFFFF"/>
        </w:rPr>
        <w:t xml:space="preserve">en el trabajo </w:t>
      </w:r>
      <w:r w:rsidR="00932D43">
        <w:rPr>
          <w:color w:val="000000"/>
          <w:shd w:val="clear" w:color="auto" w:fill="FFFFFF"/>
        </w:rPr>
        <w:t>de</w:t>
      </w:r>
      <w:r w:rsidRPr="00C42FA8">
        <w:rPr>
          <w:color w:val="000000"/>
          <w:shd w:val="clear" w:color="auto" w:fill="FFFFFF"/>
        </w:rPr>
        <w:t xml:space="preserve"> Crocker y Algina (1986), la </w:t>
      </w:r>
      <w:r w:rsidR="00932D43" w:rsidRPr="00C42FA8">
        <w:rPr>
          <w:color w:val="000000"/>
          <w:shd w:val="clear" w:color="auto" w:fill="FFFFFF"/>
        </w:rPr>
        <w:t xml:space="preserve">escala de manifestación de bienestar psicológico </w:t>
      </w:r>
      <w:r w:rsidRPr="00C42FA8">
        <w:rPr>
          <w:color w:val="000000"/>
          <w:shd w:val="clear" w:color="auto" w:fill="FFFFFF"/>
        </w:rPr>
        <w:t xml:space="preserve">de Massé </w:t>
      </w:r>
      <w:r w:rsidRPr="00932D43">
        <w:rPr>
          <w:i/>
          <w:color w:val="000000"/>
          <w:shd w:val="clear" w:color="auto" w:fill="FFFFFF"/>
        </w:rPr>
        <w:t>et al</w:t>
      </w:r>
      <w:r w:rsidR="00932D43">
        <w:rPr>
          <w:color w:val="000000"/>
          <w:shd w:val="clear" w:color="auto" w:fill="FFFFFF"/>
        </w:rPr>
        <w:t>.</w:t>
      </w:r>
      <w:r w:rsidRPr="00C42FA8">
        <w:rPr>
          <w:color w:val="000000"/>
          <w:shd w:val="clear" w:color="auto" w:fill="FFFFFF"/>
        </w:rPr>
        <w:t xml:space="preserve"> (1998a, </w:t>
      </w:r>
      <w:r w:rsidR="005967C7">
        <w:rPr>
          <w:color w:val="000000"/>
          <w:shd w:val="clear" w:color="auto" w:fill="FFFFFF"/>
        </w:rPr>
        <w:t>1998</w:t>
      </w:r>
      <w:r w:rsidRPr="00C42FA8">
        <w:rPr>
          <w:color w:val="000000"/>
          <w:shd w:val="clear" w:color="auto" w:fill="FFFFFF"/>
        </w:rPr>
        <w:t xml:space="preserve">b), la </w:t>
      </w:r>
      <w:r w:rsidR="005967C7" w:rsidRPr="00C42FA8">
        <w:rPr>
          <w:color w:val="000000"/>
          <w:shd w:val="clear" w:color="auto" w:fill="FFFFFF"/>
        </w:rPr>
        <w:t xml:space="preserve">escala psicológica de manifestación de angustia </w:t>
      </w:r>
      <w:r w:rsidRPr="00C42FA8">
        <w:rPr>
          <w:color w:val="000000"/>
          <w:shd w:val="clear" w:color="auto" w:fill="FFFFFF"/>
        </w:rPr>
        <w:t xml:space="preserve">de Massé </w:t>
      </w:r>
      <w:r w:rsidRPr="005967C7">
        <w:rPr>
          <w:i/>
          <w:color w:val="000000"/>
          <w:shd w:val="clear" w:color="auto" w:fill="FFFFFF"/>
        </w:rPr>
        <w:t>et al</w:t>
      </w:r>
      <w:r w:rsidR="005967C7">
        <w:rPr>
          <w:color w:val="000000"/>
          <w:shd w:val="clear" w:color="auto" w:fill="FFFFFF"/>
        </w:rPr>
        <w:t>.</w:t>
      </w:r>
      <w:r w:rsidRPr="00C42FA8">
        <w:rPr>
          <w:color w:val="000000"/>
          <w:shd w:val="clear" w:color="auto" w:fill="FFFFFF"/>
        </w:rPr>
        <w:t xml:space="preserve"> (1998</w:t>
      </w:r>
      <w:r w:rsidR="005967C7">
        <w:rPr>
          <w:color w:val="000000"/>
          <w:shd w:val="clear" w:color="auto" w:fill="FFFFFF"/>
        </w:rPr>
        <w:t>a,</w:t>
      </w:r>
      <w:r w:rsidRPr="00C42FA8">
        <w:rPr>
          <w:color w:val="000000"/>
          <w:shd w:val="clear" w:color="auto" w:fill="FFFFFF"/>
        </w:rPr>
        <w:t xml:space="preserve"> </w:t>
      </w:r>
      <w:r w:rsidR="005967C7">
        <w:rPr>
          <w:color w:val="000000"/>
          <w:shd w:val="clear" w:color="auto" w:fill="FFFFFF"/>
        </w:rPr>
        <w:t>1998</w:t>
      </w:r>
      <w:r w:rsidRPr="00C42FA8">
        <w:rPr>
          <w:color w:val="000000"/>
          <w:shd w:val="clear" w:color="auto" w:fill="FFFFFF"/>
        </w:rPr>
        <w:t xml:space="preserve">c), el </w:t>
      </w:r>
      <w:r w:rsidR="005967C7" w:rsidRPr="00C42FA8">
        <w:rPr>
          <w:color w:val="000000"/>
          <w:shd w:val="clear" w:color="auto" w:fill="FFFFFF"/>
        </w:rPr>
        <w:t xml:space="preserve">programa de </w:t>
      </w:r>
      <w:r w:rsidR="005967C7" w:rsidRPr="00C42FA8">
        <w:rPr>
          <w:color w:val="000000"/>
          <w:shd w:val="clear" w:color="auto" w:fill="FFFFFF"/>
        </w:rPr>
        <w:lastRenderedPageBreak/>
        <w:t xml:space="preserve">afectos positivos y negativos </w:t>
      </w:r>
      <w:r w:rsidRPr="00C42FA8">
        <w:rPr>
          <w:color w:val="000000"/>
          <w:shd w:val="clear" w:color="auto" w:fill="FFFFFF"/>
        </w:rPr>
        <w:t xml:space="preserve">de Watson </w:t>
      </w:r>
      <w:r w:rsidRPr="005967C7">
        <w:rPr>
          <w:i/>
          <w:color w:val="000000"/>
          <w:shd w:val="clear" w:color="auto" w:fill="FFFFFF"/>
        </w:rPr>
        <w:t>et al</w:t>
      </w:r>
      <w:r w:rsidR="005967C7">
        <w:rPr>
          <w:color w:val="000000"/>
          <w:shd w:val="clear" w:color="auto" w:fill="FFFFFF"/>
        </w:rPr>
        <w:t>.</w:t>
      </w:r>
      <w:r w:rsidRPr="00C42FA8">
        <w:rPr>
          <w:color w:val="000000"/>
          <w:shd w:val="clear" w:color="auto" w:fill="FFFFFF"/>
        </w:rPr>
        <w:t xml:space="preserve"> (1988), así como la </w:t>
      </w:r>
      <w:r w:rsidR="005967C7" w:rsidRPr="00C42FA8">
        <w:rPr>
          <w:color w:val="000000"/>
          <w:shd w:val="clear" w:color="auto" w:fill="FFFFFF"/>
        </w:rPr>
        <w:t xml:space="preserve">escala de satisfacción con la vida </w:t>
      </w:r>
      <w:r w:rsidRPr="00C42FA8">
        <w:rPr>
          <w:color w:val="000000"/>
          <w:shd w:val="clear" w:color="auto" w:fill="FFFFFF"/>
        </w:rPr>
        <w:t xml:space="preserve">de Diener </w:t>
      </w:r>
      <w:r w:rsidRPr="005967C7">
        <w:rPr>
          <w:i/>
          <w:color w:val="000000"/>
          <w:shd w:val="clear" w:color="auto" w:fill="FFFFFF"/>
        </w:rPr>
        <w:t>et al</w:t>
      </w:r>
      <w:r w:rsidR="005967C7">
        <w:rPr>
          <w:color w:val="000000"/>
          <w:shd w:val="clear" w:color="auto" w:fill="FFFFFF"/>
        </w:rPr>
        <w:t>.</w:t>
      </w:r>
      <w:r w:rsidRPr="00C42FA8">
        <w:rPr>
          <w:color w:val="000000"/>
          <w:shd w:val="clear" w:color="auto" w:fill="FFFFFF"/>
        </w:rPr>
        <w:t xml:space="preserve"> (1985),</w:t>
      </w:r>
      <w:r w:rsidR="00CF5340" w:rsidRPr="00C42FA8">
        <w:rPr>
          <w:color w:val="000000"/>
          <w:shd w:val="clear" w:color="auto" w:fill="FFFFFF"/>
        </w:rPr>
        <w:t xml:space="preserve"> </w:t>
      </w:r>
      <w:r w:rsidR="005967C7">
        <w:rPr>
          <w:color w:val="000000"/>
          <w:shd w:val="clear" w:color="auto" w:fill="FFFFFF"/>
        </w:rPr>
        <w:t xml:space="preserve">todos </w:t>
      </w:r>
      <w:r w:rsidR="00CF5340" w:rsidRPr="00C42FA8">
        <w:rPr>
          <w:color w:val="000000"/>
          <w:shd w:val="clear" w:color="auto" w:fill="FFFFFF"/>
        </w:rPr>
        <w:t>referidos en Dag</w:t>
      </w:r>
      <w:r w:rsidR="005967C7">
        <w:rPr>
          <w:color w:val="000000"/>
          <w:shd w:val="clear" w:color="auto" w:fill="FFFFFF"/>
        </w:rPr>
        <w:t xml:space="preserve">enais-Desmarais y Savoie (2012), lo que ha servido para conseguir </w:t>
      </w:r>
      <w:r w:rsidRPr="00C42FA8">
        <w:rPr>
          <w:color w:val="000000"/>
          <w:shd w:val="clear" w:color="auto" w:fill="FFFFFF"/>
        </w:rPr>
        <w:t xml:space="preserve">un sustento </w:t>
      </w:r>
      <w:r w:rsidR="005967C7">
        <w:rPr>
          <w:color w:val="000000"/>
          <w:shd w:val="clear" w:color="auto" w:fill="FFFFFF"/>
        </w:rPr>
        <w:t xml:space="preserve">sólido para </w:t>
      </w:r>
      <w:r w:rsidRPr="00C42FA8">
        <w:rPr>
          <w:color w:val="000000"/>
          <w:shd w:val="clear" w:color="auto" w:fill="FFFFFF"/>
        </w:rPr>
        <w:t>la conceptualización del bienestar psicológico subjetivo en el trabajo.</w:t>
      </w:r>
    </w:p>
    <w:p w14:paraId="2AD0377E" w14:textId="77777777" w:rsidR="00C92D11" w:rsidRDefault="005967C7" w:rsidP="003A4527">
      <w:pPr>
        <w:pStyle w:val="NormalWeb"/>
        <w:spacing w:before="0" w:beforeAutospacing="0" w:after="0" w:afterAutospacing="0" w:line="360" w:lineRule="auto"/>
        <w:ind w:firstLine="700"/>
        <w:jc w:val="both"/>
      </w:pPr>
      <w:r>
        <w:t>Asimismo, pero e</w:t>
      </w:r>
      <w:r w:rsidR="00437752" w:rsidRPr="00C42FA8">
        <w:t xml:space="preserve">n años </w:t>
      </w:r>
      <w:r w:rsidR="006D43FA">
        <w:t>má</w:t>
      </w:r>
      <w:r>
        <w:t xml:space="preserve">s </w:t>
      </w:r>
      <w:r w:rsidR="00437752" w:rsidRPr="00C42FA8">
        <w:t xml:space="preserve">recientes </w:t>
      </w:r>
      <w:r>
        <w:t>—</w:t>
      </w:r>
      <w:r w:rsidR="00437752" w:rsidRPr="00C42FA8">
        <w:t>como menciona</w:t>
      </w:r>
      <w:r w:rsidR="004847A6">
        <w:t>n</w:t>
      </w:r>
      <w:r w:rsidR="00437752" w:rsidRPr="00C42FA8">
        <w:t xml:space="preserve"> Llorens</w:t>
      </w:r>
      <w:r w:rsidR="004847A6">
        <w:t>,</w:t>
      </w:r>
      <w:r w:rsidR="004847A6" w:rsidRPr="004847A6">
        <w:rPr>
          <w:rFonts w:eastAsia="Calibri"/>
        </w:rPr>
        <w:t xml:space="preserve"> </w:t>
      </w:r>
      <w:r w:rsidR="004847A6">
        <w:rPr>
          <w:rFonts w:eastAsia="Calibri"/>
        </w:rPr>
        <w:t>Salanova y Lasilla</w:t>
      </w:r>
      <w:r w:rsidR="00437752" w:rsidRPr="00C42FA8">
        <w:t xml:space="preserve"> (2009)</w:t>
      </w:r>
      <w:r w:rsidRPr="005967C7">
        <w:rPr>
          <w:lang w:val="es-VE"/>
        </w:rPr>
        <w:t>—</w:t>
      </w:r>
      <w:r w:rsidR="00437752" w:rsidRPr="00C42FA8">
        <w:t xml:space="preserve"> </w:t>
      </w:r>
      <w:r>
        <w:t xml:space="preserve">ha crecido el interés por estudiar </w:t>
      </w:r>
      <w:r w:rsidR="0093023F" w:rsidRPr="00C42FA8">
        <w:t xml:space="preserve">el </w:t>
      </w:r>
      <w:r w:rsidR="00437752" w:rsidRPr="00C42FA8">
        <w:t xml:space="preserve">rol del líder </w:t>
      </w:r>
      <w:r>
        <w:t xml:space="preserve">para crear </w:t>
      </w:r>
      <w:r w:rsidR="00437752" w:rsidRPr="00C42FA8">
        <w:t xml:space="preserve">ambientes </w:t>
      </w:r>
      <w:r w:rsidR="005E7C0B" w:rsidRPr="00C42FA8">
        <w:t>de bienestar psicológico en el trabajo</w:t>
      </w:r>
      <w:r>
        <w:t>. De hecho,</w:t>
      </w:r>
      <w:r w:rsidR="0093023F" w:rsidRPr="00C42FA8">
        <w:t xml:space="preserve"> </w:t>
      </w:r>
      <w:r>
        <w:t>se ha analizado esa</w:t>
      </w:r>
      <w:r w:rsidR="00437752" w:rsidRPr="00C42FA8">
        <w:t xml:space="preserve"> influencia para gestionar organizaciones que se caracterizan por invertir </w:t>
      </w:r>
      <w:r w:rsidR="0093023F" w:rsidRPr="00C42FA8">
        <w:t xml:space="preserve">esfuerzos de colaboración, para maximizar el </w:t>
      </w:r>
      <w:r w:rsidR="00437752" w:rsidRPr="00C42FA8">
        <w:t>bienestar de los empleados y con ello impactar en</w:t>
      </w:r>
      <w:r w:rsidR="00347509">
        <w:t xml:space="preserve"> </w:t>
      </w:r>
      <w:r w:rsidR="00437752" w:rsidRPr="00C42FA8">
        <w:t xml:space="preserve">la </w:t>
      </w:r>
      <w:r w:rsidR="0093023F" w:rsidRPr="00C42FA8">
        <w:t xml:space="preserve">productividad, </w:t>
      </w:r>
      <w:r>
        <w:t>lo cual genera</w:t>
      </w:r>
      <w:r w:rsidR="0093023F" w:rsidRPr="00C42FA8">
        <w:t xml:space="preserve"> puestos bien</w:t>
      </w:r>
      <w:r w:rsidR="00437752" w:rsidRPr="00C42FA8">
        <w:t xml:space="preserve"> diseñados y significativos</w:t>
      </w:r>
      <w:r>
        <w:t>, así como</w:t>
      </w:r>
      <w:r w:rsidR="00437752" w:rsidRPr="00C42FA8">
        <w:t xml:space="preserve"> mejores climas organizacionales </w:t>
      </w:r>
      <w:r>
        <w:t xml:space="preserve">que evidencian </w:t>
      </w:r>
      <w:r w:rsidR="0093023F" w:rsidRPr="00C42FA8">
        <w:t>las oportunidades equitativas y</w:t>
      </w:r>
      <w:r w:rsidR="00437752" w:rsidRPr="00C42FA8">
        <w:t xml:space="preserve"> accesi</w:t>
      </w:r>
      <w:r w:rsidR="00685E6E">
        <w:t>bles para</w:t>
      </w:r>
      <w:r w:rsidR="00437752" w:rsidRPr="00C42FA8">
        <w:t xml:space="preserve"> desarrollar</w:t>
      </w:r>
      <w:r w:rsidR="0093023F" w:rsidRPr="00C42FA8">
        <w:t xml:space="preserve"> </w:t>
      </w:r>
      <w:r w:rsidR="00437752" w:rsidRPr="00C42FA8">
        <w:t xml:space="preserve">los propósitos personales como los de </w:t>
      </w:r>
      <w:r w:rsidR="0093023F" w:rsidRPr="00C42FA8">
        <w:t>carre</w:t>
      </w:r>
      <w:r w:rsidR="00437752" w:rsidRPr="00C42FA8">
        <w:t xml:space="preserve">ra o </w:t>
      </w:r>
      <w:r w:rsidR="0093023F" w:rsidRPr="00C42FA8">
        <w:t>el</w:t>
      </w:r>
      <w:r w:rsidR="005E7C0B" w:rsidRPr="00C42FA8">
        <w:t xml:space="preserve"> balance </w:t>
      </w:r>
      <w:r w:rsidR="00437752" w:rsidRPr="00C42FA8">
        <w:t>vida-trabajo.</w:t>
      </w:r>
    </w:p>
    <w:p w14:paraId="10EDA7A1" w14:textId="77777777" w:rsidR="00C45469" w:rsidRPr="00C42FA8" w:rsidRDefault="00C92D11" w:rsidP="007E4B66">
      <w:pPr>
        <w:autoSpaceDE w:val="0"/>
        <w:autoSpaceDN w:val="0"/>
        <w:adjustRightInd w:val="0"/>
        <w:spacing w:after="0" w:line="360" w:lineRule="auto"/>
        <w:ind w:firstLine="700"/>
        <w:jc w:val="both"/>
        <w:rPr>
          <w:color w:val="0081AD"/>
        </w:rPr>
      </w:pPr>
      <w:r w:rsidRPr="00BE0BCC">
        <w:rPr>
          <w:color w:val="000000"/>
        </w:rPr>
        <w:t xml:space="preserve">Para Perilla y </w:t>
      </w:r>
      <w:r w:rsidR="00140A0E" w:rsidRPr="00BE0BCC">
        <w:rPr>
          <w:color w:val="000000"/>
        </w:rPr>
        <w:t>Gómez</w:t>
      </w:r>
      <w:r w:rsidRPr="00BE0BCC">
        <w:rPr>
          <w:color w:val="000000"/>
        </w:rPr>
        <w:t xml:space="preserve"> (2017), el tipo de liderazgo a considerar para propiciar el bienestar psicológico en el trabajo es el transformacional, el cual </w:t>
      </w:r>
      <w:r w:rsidR="00C45469" w:rsidRPr="00BE0BCC">
        <w:rPr>
          <w:color w:val="000000"/>
        </w:rPr>
        <w:t xml:space="preserve">fue propuesto </w:t>
      </w:r>
      <w:r w:rsidR="00C45469" w:rsidRPr="00BE0BCC">
        <w:t xml:space="preserve">por </w:t>
      </w:r>
      <w:r w:rsidRPr="00BE0BCC">
        <w:t>Burns en 1978</w:t>
      </w:r>
      <w:r w:rsidR="00C45469" w:rsidRPr="00BE0BCC">
        <w:t xml:space="preserve"> y posteriormente desarrollado por Bass </w:t>
      </w:r>
      <w:r w:rsidRPr="00BE0BCC">
        <w:t>en 1985</w:t>
      </w:r>
      <w:r w:rsidR="00C45469" w:rsidRPr="00BE0BCC">
        <w:t xml:space="preserve">, </w:t>
      </w:r>
      <w:r w:rsidR="00685E6E" w:rsidRPr="00BE0BCC">
        <w:t>quien</w:t>
      </w:r>
      <w:r w:rsidRPr="00BE0BCC">
        <w:t xml:space="preserve"> hizo una diferencia clara entre este estilo y el transaccional. </w:t>
      </w:r>
      <w:r w:rsidR="00BE0BCC">
        <w:t>Ambos</w:t>
      </w:r>
      <w:r w:rsidRPr="00BE0BCC">
        <w:t xml:space="preserve"> autores consideran que </w:t>
      </w:r>
      <w:r w:rsidR="00C45469" w:rsidRPr="00BE0BCC">
        <w:t xml:space="preserve">el </w:t>
      </w:r>
      <w:r w:rsidR="00C45469" w:rsidRPr="00BE0BCC">
        <w:rPr>
          <w:color w:val="000000"/>
        </w:rPr>
        <w:t>liderazgo transformacional</w:t>
      </w:r>
      <w:r w:rsidRPr="00BE0BCC">
        <w:rPr>
          <w:color w:val="000000"/>
        </w:rPr>
        <w:t xml:space="preserve"> consiste en generar una </w:t>
      </w:r>
      <w:r w:rsidR="00C45469" w:rsidRPr="00BE0BCC">
        <w:rPr>
          <w:color w:val="000000"/>
        </w:rPr>
        <w:t>relación</w:t>
      </w:r>
      <w:r w:rsidRPr="00BE0BCC">
        <w:rPr>
          <w:color w:val="0081AD"/>
        </w:rPr>
        <w:t xml:space="preserve"> </w:t>
      </w:r>
      <w:r w:rsidR="00C45469" w:rsidRPr="00BE0BCC">
        <w:rPr>
          <w:color w:val="000000"/>
        </w:rPr>
        <w:t xml:space="preserve">de </w:t>
      </w:r>
      <w:r w:rsidR="00906186" w:rsidRPr="00BE0BCC">
        <w:rPr>
          <w:color w:val="000000"/>
        </w:rPr>
        <w:t>participación</w:t>
      </w:r>
      <w:r w:rsidR="00C45469" w:rsidRPr="00BE0BCC">
        <w:rPr>
          <w:color w:val="000000"/>
        </w:rPr>
        <w:t xml:space="preserve"> y </w:t>
      </w:r>
      <w:r w:rsidR="00906186" w:rsidRPr="00BE0BCC">
        <w:rPr>
          <w:color w:val="000000"/>
        </w:rPr>
        <w:t>compromiso</w:t>
      </w:r>
      <w:r w:rsidR="00C45469" w:rsidRPr="00BE0BCC">
        <w:rPr>
          <w:color w:val="000000"/>
        </w:rPr>
        <w:t xml:space="preserve"> que convierte a los seguidores</w:t>
      </w:r>
      <w:r w:rsidR="00906186" w:rsidRPr="00BE0BCC">
        <w:rPr>
          <w:color w:val="0081AD"/>
        </w:rPr>
        <w:t xml:space="preserve"> </w:t>
      </w:r>
      <w:r w:rsidR="00C45469" w:rsidRPr="00BE0BCC">
        <w:rPr>
          <w:color w:val="000000"/>
        </w:rPr>
        <w:t>en líderes y puede convertir a los líderes en agentes morales</w:t>
      </w:r>
      <w:r w:rsidR="003A4527" w:rsidRPr="00BE0BCC">
        <w:rPr>
          <w:color w:val="000000"/>
        </w:rPr>
        <w:t>.</w:t>
      </w:r>
    </w:p>
    <w:p w14:paraId="08449093" w14:textId="77777777" w:rsidR="00906186" w:rsidRDefault="00906186" w:rsidP="007E4B66">
      <w:pPr>
        <w:autoSpaceDE w:val="0"/>
        <w:autoSpaceDN w:val="0"/>
        <w:adjustRightInd w:val="0"/>
        <w:spacing w:after="0" w:line="360" w:lineRule="auto"/>
        <w:ind w:firstLine="708"/>
        <w:jc w:val="both"/>
      </w:pPr>
      <w:r w:rsidRPr="00C42FA8">
        <w:t>Según</w:t>
      </w:r>
      <w:r w:rsidR="00C45469" w:rsidRPr="00C42FA8">
        <w:t xml:space="preserve"> Bass (1985), a través</w:t>
      </w:r>
      <w:r w:rsidRPr="00C42FA8">
        <w:t xml:space="preserve"> del liderazgo transformacional </w:t>
      </w:r>
      <w:r w:rsidR="00C45469" w:rsidRPr="00C42FA8">
        <w:t>el líder moti</w:t>
      </w:r>
      <w:r w:rsidRPr="00C42FA8">
        <w:t xml:space="preserve">va a los seguidores para obtener un </w:t>
      </w:r>
      <w:r w:rsidR="00C45469" w:rsidRPr="00C42FA8">
        <w:t>desempe</w:t>
      </w:r>
      <w:r w:rsidRPr="00C42FA8">
        <w:t xml:space="preserve">ño </w:t>
      </w:r>
      <w:r w:rsidR="00C45469" w:rsidRPr="00C42FA8">
        <w:t>que supera las expectativas al transfor</w:t>
      </w:r>
      <w:r w:rsidRPr="00C42FA8">
        <w:t xml:space="preserve">mar las actitudes y los valores </w:t>
      </w:r>
      <w:r w:rsidR="00C45469" w:rsidRPr="00C42FA8">
        <w:t xml:space="preserve">de los seguidores. Este estilo </w:t>
      </w:r>
      <w:r w:rsidRPr="00C42FA8">
        <w:t xml:space="preserve">de influencia destaca un proceso a través del cual se promueve que los seguidores se distingan </w:t>
      </w:r>
      <w:r w:rsidR="00C45469" w:rsidRPr="00C42FA8">
        <w:t>a ellos mismos como</w:t>
      </w:r>
      <w:r w:rsidRPr="00C42FA8">
        <w:t xml:space="preserve"> los </w:t>
      </w:r>
      <w:r w:rsidR="00C45469" w:rsidRPr="00C42FA8">
        <w:t xml:space="preserve">retos y oportunidades de su entorno. </w:t>
      </w:r>
    </w:p>
    <w:p w14:paraId="496B1D03" w14:textId="77777777" w:rsidR="0091632B" w:rsidRDefault="0091632B" w:rsidP="0091632B">
      <w:pPr>
        <w:pStyle w:val="Contenido"/>
        <w:spacing w:before="0" w:after="0"/>
        <w:ind w:firstLine="708"/>
      </w:pPr>
      <w:r w:rsidRPr="00907F58">
        <w:t xml:space="preserve">Por su parte, </w:t>
      </w:r>
      <w:r w:rsidRPr="0091632B">
        <w:t>Lapo (2015)</w:t>
      </w:r>
      <w:r w:rsidR="00BE0BCC">
        <w:t xml:space="preserve"> considera que e</w:t>
      </w:r>
      <w:r w:rsidRPr="00907F58">
        <w:t>l liderazgo transformacional</w:t>
      </w:r>
      <w:r w:rsidR="00BE0BCC">
        <w:t xml:space="preserve"> se vincula con </w:t>
      </w:r>
      <w:r w:rsidRPr="00907F58">
        <w:t xml:space="preserve">la capacidad de conducir a las personas de una organización </w:t>
      </w:r>
      <w:r w:rsidR="00BE0BCC">
        <w:t>para alcanzar los objetivos de e</w:t>
      </w:r>
      <w:r w:rsidRPr="00907F58">
        <w:t>sta. Para ello, la dirección deberá de estar basada en el respeto al líder</w:t>
      </w:r>
      <w:r w:rsidR="00647298">
        <w:t>, el cual surge</w:t>
      </w:r>
      <w:r w:rsidRPr="00907F58">
        <w:t xml:space="preserve"> por sus cualid</w:t>
      </w:r>
      <w:r w:rsidR="007D5F34">
        <w:t>ades profesionales y personales,</w:t>
      </w:r>
      <w:r w:rsidRPr="00907F58">
        <w:t xml:space="preserve"> así como por sus conocimientos y capacidad</w:t>
      </w:r>
      <w:r w:rsidR="00647298">
        <w:t>es</w:t>
      </w:r>
      <w:r w:rsidRPr="00907F58">
        <w:t xml:space="preserve"> para transmitir</w:t>
      </w:r>
      <w:r w:rsidR="00647298">
        <w:t xml:space="preserve"> sus valores</w:t>
      </w:r>
      <w:r w:rsidRPr="00907F58">
        <w:t xml:space="preserve">. </w:t>
      </w:r>
      <w:r w:rsidR="007D5F34">
        <w:t>U</w:t>
      </w:r>
      <w:r w:rsidRPr="00907F58">
        <w:t>n liderazgo transformacional</w:t>
      </w:r>
      <w:r w:rsidR="007D5F34">
        <w:t>, en consecuencia,</w:t>
      </w:r>
      <w:r w:rsidRPr="00907F58">
        <w:t xml:space="preserve"> representará un proceso estratégico para asegurar el éxito de la empresa. </w:t>
      </w:r>
    </w:p>
    <w:p w14:paraId="2D44CC1D" w14:textId="77777777" w:rsidR="0091632B" w:rsidRPr="00C42FA8" w:rsidRDefault="0091632B" w:rsidP="0091632B">
      <w:pPr>
        <w:pStyle w:val="Contenido"/>
        <w:spacing w:before="0" w:after="0"/>
        <w:ind w:firstLine="708"/>
      </w:pPr>
      <w:r w:rsidRPr="00907F58">
        <w:t xml:space="preserve">De la misma forma, el líder transformacional es capaz de ir más allá de los propios intereses inmediatos a través de su influencia y carisma, inspiración, estímulo intelectual o consideración individualizada, </w:t>
      </w:r>
      <w:r w:rsidR="007D5F34">
        <w:t>con lo cual logra</w:t>
      </w:r>
      <w:r w:rsidRPr="00907F58">
        <w:t xml:space="preserve"> elevar el nivel de madurez y de ideales del </w:t>
      </w:r>
      <w:r w:rsidRPr="00907F58">
        <w:lastRenderedPageBreak/>
        <w:t xml:space="preserve">seguidor. Además, el líder transformacional </w:t>
      </w:r>
      <w:r w:rsidR="007D5F34">
        <w:t xml:space="preserve">está capacitado para </w:t>
      </w:r>
      <w:r w:rsidRPr="00907F58">
        <w:t xml:space="preserve">transmitir su preocupación por el logro, </w:t>
      </w:r>
      <w:r w:rsidR="007D5F34">
        <w:t xml:space="preserve">la </w:t>
      </w:r>
      <w:r w:rsidRPr="00907F58">
        <w:t xml:space="preserve">autorrealización y el bienestar de los demás, </w:t>
      </w:r>
      <w:r w:rsidR="007D5F34">
        <w:t xml:space="preserve">de </w:t>
      </w:r>
      <w:r w:rsidRPr="00907F58">
        <w:t xml:space="preserve">la organización y </w:t>
      </w:r>
      <w:r w:rsidR="007D5F34">
        <w:t>de la sociedad,</w:t>
      </w:r>
      <w:r w:rsidRPr="00907F58">
        <w:t xml:space="preserve"> </w:t>
      </w:r>
      <w:r w:rsidR="007D5F34">
        <w:t xml:space="preserve">elementos esenciales para ganarse </w:t>
      </w:r>
      <w:r w:rsidRPr="00907F58">
        <w:t xml:space="preserve">la credibilidad y </w:t>
      </w:r>
      <w:r w:rsidR="007D5F34">
        <w:t xml:space="preserve">el </w:t>
      </w:r>
      <w:r w:rsidRPr="00907F58">
        <w:t>compromiso de sus seguidores.</w:t>
      </w:r>
    </w:p>
    <w:p w14:paraId="43574E13" w14:textId="77777777" w:rsidR="00C45469" w:rsidRDefault="007D5F34" w:rsidP="00626257">
      <w:pPr>
        <w:autoSpaceDE w:val="0"/>
        <w:autoSpaceDN w:val="0"/>
        <w:adjustRightInd w:val="0"/>
        <w:spacing w:after="0" w:line="360" w:lineRule="auto"/>
        <w:ind w:firstLine="708"/>
        <w:jc w:val="both"/>
        <w:rPr>
          <w:color w:val="000000"/>
        </w:rPr>
      </w:pPr>
      <w:r>
        <w:t>Aun así, vale destacar que son escasos</w:t>
      </w:r>
      <w:r w:rsidR="00906186" w:rsidRPr="00C42FA8">
        <w:t xml:space="preserve"> </w:t>
      </w:r>
      <w:r>
        <w:t xml:space="preserve">los </w:t>
      </w:r>
      <w:r w:rsidR="00906186" w:rsidRPr="00C42FA8">
        <w:t xml:space="preserve">estudios </w:t>
      </w:r>
      <w:r>
        <w:t>sobre</w:t>
      </w:r>
      <w:r w:rsidR="00C45469" w:rsidRPr="00C42FA8">
        <w:t xml:space="preserve"> el proceso a través del cual el liderazgo</w:t>
      </w:r>
      <w:r w:rsidR="00626257" w:rsidRPr="00C42FA8">
        <w:t xml:space="preserve"> </w:t>
      </w:r>
      <w:r w:rsidR="00906186" w:rsidRPr="00C42FA8">
        <w:t>transformacional produce cambios en indicadores del bienestar psicológico en el trabajo</w:t>
      </w:r>
      <w:r w:rsidR="00C45469" w:rsidRPr="00C42FA8">
        <w:t>.</w:t>
      </w:r>
      <w:r>
        <w:t xml:space="preserve"> En este sentido, </w:t>
      </w:r>
      <w:r w:rsidR="00C45469" w:rsidRPr="00C42FA8">
        <w:t>Sivanathan, Arnold, Turner y Barling (2004)</w:t>
      </w:r>
      <w:r w:rsidR="00C45469" w:rsidRPr="00C42FA8">
        <w:rPr>
          <w:color w:val="0081AD"/>
        </w:rPr>
        <w:t xml:space="preserve"> </w:t>
      </w:r>
      <w:r w:rsidR="00906186" w:rsidRPr="00C42FA8">
        <w:rPr>
          <w:color w:val="000000"/>
        </w:rPr>
        <w:t xml:space="preserve">han propuesto una </w:t>
      </w:r>
      <w:r w:rsidR="00C45469" w:rsidRPr="00C42FA8">
        <w:rPr>
          <w:color w:val="000000"/>
        </w:rPr>
        <w:t xml:space="preserve">serie de procesos psicológicos de </w:t>
      </w:r>
      <w:r w:rsidR="00906186" w:rsidRPr="00C42FA8">
        <w:rPr>
          <w:color w:val="000000"/>
        </w:rPr>
        <w:t xml:space="preserve">los seguidores </w:t>
      </w:r>
      <w:r w:rsidR="00F65CB1">
        <w:rPr>
          <w:color w:val="000000"/>
        </w:rPr>
        <w:t xml:space="preserve">que son </w:t>
      </w:r>
      <w:r w:rsidR="00906186" w:rsidRPr="00C42FA8">
        <w:rPr>
          <w:color w:val="000000"/>
        </w:rPr>
        <w:t xml:space="preserve">estimulados por </w:t>
      </w:r>
      <w:r w:rsidR="00C45469" w:rsidRPr="00C42FA8">
        <w:rPr>
          <w:color w:val="000000"/>
        </w:rPr>
        <w:t xml:space="preserve">el comportamiento de los líderes </w:t>
      </w:r>
      <w:r w:rsidR="00F65CB1">
        <w:rPr>
          <w:color w:val="000000"/>
        </w:rPr>
        <w:t xml:space="preserve">y </w:t>
      </w:r>
      <w:r w:rsidR="00C45469" w:rsidRPr="00C42FA8">
        <w:rPr>
          <w:color w:val="000000"/>
        </w:rPr>
        <w:t>qu</w:t>
      </w:r>
      <w:r w:rsidR="00906186" w:rsidRPr="00C42FA8">
        <w:rPr>
          <w:color w:val="000000"/>
        </w:rPr>
        <w:t xml:space="preserve">e podrían mediar en la relación </w:t>
      </w:r>
      <w:r w:rsidR="00C45469" w:rsidRPr="00C42FA8">
        <w:rPr>
          <w:color w:val="000000"/>
        </w:rPr>
        <w:t>entre estas variables</w:t>
      </w:r>
      <w:r w:rsidR="00F65CB1">
        <w:rPr>
          <w:color w:val="000000"/>
        </w:rPr>
        <w:t>:</w:t>
      </w:r>
      <w:r w:rsidR="00906186" w:rsidRPr="00C42FA8">
        <w:rPr>
          <w:color w:val="000000"/>
        </w:rPr>
        <w:t xml:space="preserve"> la confianza en el líder, el trabajo significativo, </w:t>
      </w:r>
      <w:r w:rsidR="00C45469" w:rsidRPr="00C42FA8">
        <w:rPr>
          <w:color w:val="000000"/>
        </w:rPr>
        <w:t>la identidad organizacional y ocupacional</w:t>
      </w:r>
      <w:r w:rsidR="00F65CB1">
        <w:rPr>
          <w:color w:val="000000"/>
        </w:rPr>
        <w:t>,</w:t>
      </w:r>
      <w:r w:rsidR="00906186" w:rsidRPr="00C42FA8">
        <w:rPr>
          <w:color w:val="000000"/>
        </w:rPr>
        <w:t xml:space="preserve"> entre otras</w:t>
      </w:r>
      <w:r w:rsidR="00C45469" w:rsidRPr="00C42FA8">
        <w:rPr>
          <w:color w:val="000000"/>
        </w:rPr>
        <w:t>.</w:t>
      </w:r>
    </w:p>
    <w:p w14:paraId="075B0B11" w14:textId="77777777" w:rsidR="001A3FA7" w:rsidRDefault="00C45469" w:rsidP="00B6567E">
      <w:pPr>
        <w:autoSpaceDE w:val="0"/>
        <w:autoSpaceDN w:val="0"/>
        <w:adjustRightInd w:val="0"/>
        <w:spacing w:after="0" w:line="360" w:lineRule="auto"/>
        <w:ind w:firstLine="708"/>
        <w:jc w:val="both"/>
      </w:pPr>
      <w:r w:rsidRPr="00C42FA8">
        <w:rPr>
          <w:color w:val="000000"/>
        </w:rPr>
        <w:t>La confianza</w:t>
      </w:r>
      <w:r w:rsidR="00906186" w:rsidRPr="00C42FA8">
        <w:rPr>
          <w:color w:val="000000"/>
        </w:rPr>
        <w:t xml:space="preserve"> en el líder</w:t>
      </w:r>
      <w:r w:rsidRPr="00C42FA8">
        <w:rPr>
          <w:color w:val="000000"/>
        </w:rPr>
        <w:t>,</w:t>
      </w:r>
      <w:r w:rsidR="00906186" w:rsidRPr="00C42FA8">
        <w:rPr>
          <w:color w:val="000000"/>
        </w:rPr>
        <w:t xml:space="preserve"> específicamente, se ha asociado </w:t>
      </w:r>
      <w:r w:rsidRPr="00C42FA8">
        <w:rPr>
          <w:color w:val="000000"/>
        </w:rPr>
        <w:t xml:space="preserve">con el liderazgo transformacional, </w:t>
      </w:r>
      <w:r w:rsidR="00906186" w:rsidRPr="00C42FA8">
        <w:rPr>
          <w:color w:val="000000"/>
        </w:rPr>
        <w:t xml:space="preserve">ya que parece ser clave </w:t>
      </w:r>
      <w:r w:rsidRPr="00C42FA8">
        <w:rPr>
          <w:color w:val="000000"/>
        </w:rPr>
        <w:t>para que esta forma de l</w:t>
      </w:r>
      <w:r w:rsidR="00906186" w:rsidRPr="00C42FA8">
        <w:rPr>
          <w:color w:val="000000"/>
        </w:rPr>
        <w:t xml:space="preserve">iderazgo sea efectiva. </w:t>
      </w:r>
      <w:r w:rsidRPr="00C42FA8">
        <w:t xml:space="preserve">Podsakoff, Mackenzie, Moorman y Fetter </w:t>
      </w:r>
      <w:r w:rsidR="00906186" w:rsidRPr="00C42FA8">
        <w:t>(</w:t>
      </w:r>
      <w:r w:rsidRPr="00C42FA8">
        <w:t xml:space="preserve">1990) </w:t>
      </w:r>
      <w:r w:rsidR="00F65CB1">
        <w:t>destacan</w:t>
      </w:r>
      <w:r w:rsidR="002C4665" w:rsidRPr="00C42FA8">
        <w:t xml:space="preserve"> en su investigación</w:t>
      </w:r>
      <w:r w:rsidR="00906186" w:rsidRPr="00C42FA8">
        <w:t xml:space="preserve"> que </w:t>
      </w:r>
      <w:r w:rsidRPr="00C42FA8">
        <w:t xml:space="preserve">el compromiso </w:t>
      </w:r>
      <w:r w:rsidR="002C4665" w:rsidRPr="00C42FA8">
        <w:t>que tenga el seguidor</w:t>
      </w:r>
      <w:r w:rsidR="00347509">
        <w:t xml:space="preserve"> </w:t>
      </w:r>
      <w:r w:rsidR="00906186" w:rsidRPr="00C42FA8">
        <w:t>depende</w:t>
      </w:r>
      <w:r w:rsidR="002C4665" w:rsidRPr="00C42FA8">
        <w:t>rá</w:t>
      </w:r>
      <w:r w:rsidR="00906186" w:rsidRPr="00C42FA8">
        <w:t xml:space="preserve"> de la capacidad </w:t>
      </w:r>
      <w:r w:rsidRPr="00C42FA8">
        <w:t xml:space="preserve">del líder </w:t>
      </w:r>
      <w:r w:rsidR="00F65CB1">
        <w:t>para</w:t>
      </w:r>
      <w:r w:rsidRPr="00C42FA8">
        <w:t xml:space="preserve"> construir co</w:t>
      </w:r>
      <w:r w:rsidR="00F65CB1">
        <w:t>nfianza entre ellos.</w:t>
      </w:r>
      <w:r w:rsidR="002C4665" w:rsidRPr="00C42FA8">
        <w:t xml:space="preserve"> </w:t>
      </w:r>
      <w:r w:rsidR="00F65CB1">
        <w:t>O</w:t>
      </w:r>
      <w:r w:rsidR="002C4665" w:rsidRPr="00C42FA8">
        <w:t>tras</w:t>
      </w:r>
      <w:r w:rsidRPr="00C42FA8">
        <w:t xml:space="preserve"> investigaciones </w:t>
      </w:r>
      <w:r w:rsidR="002C4665" w:rsidRPr="00C42FA8">
        <w:t>además ponen de manifiesto</w:t>
      </w:r>
      <w:r w:rsidR="00906186" w:rsidRPr="00C42FA8">
        <w:t xml:space="preserve"> la relación de la </w:t>
      </w:r>
      <w:r w:rsidR="002C4665" w:rsidRPr="00C42FA8">
        <w:t>confianza con</w:t>
      </w:r>
      <w:r w:rsidRPr="00C42FA8">
        <w:t xml:space="preserve"> resultados organizacionales positivos </w:t>
      </w:r>
      <w:r w:rsidR="00F65CB1">
        <w:t>(p. ej.,</w:t>
      </w:r>
      <w:r w:rsidR="002C4665" w:rsidRPr="00C42FA8">
        <w:t xml:space="preserve"> el</w:t>
      </w:r>
      <w:r w:rsidRPr="00C42FA8">
        <w:t xml:space="preserve"> desempe</w:t>
      </w:r>
      <w:r w:rsidR="00906186" w:rsidRPr="00C42FA8">
        <w:t>ñ</w:t>
      </w:r>
      <w:r w:rsidRPr="00C42FA8">
        <w:t>o</w:t>
      </w:r>
      <w:r w:rsidR="00F65CB1">
        <w:t>)</w:t>
      </w:r>
      <w:r w:rsidR="00906186" w:rsidRPr="00C42FA8">
        <w:t xml:space="preserve">, así como </w:t>
      </w:r>
      <w:r w:rsidR="002C4665" w:rsidRPr="00C42FA8">
        <w:t>con mejores condiciones psicológicas y de interrelación personal en el</w:t>
      </w:r>
      <w:r w:rsidRPr="00C42FA8">
        <w:t xml:space="preserve"> trabajo (Abbott y Freeth,</w:t>
      </w:r>
      <w:r w:rsidR="002C4665" w:rsidRPr="00C42FA8">
        <w:t xml:space="preserve"> </w:t>
      </w:r>
      <w:r w:rsidRPr="00C42FA8">
        <w:t>2008; Salanova, 2008)</w:t>
      </w:r>
      <w:r w:rsidR="001A3FA7">
        <w:t>.</w:t>
      </w:r>
      <w:r w:rsidRPr="00C42FA8">
        <w:t xml:space="preserve"> </w:t>
      </w:r>
    </w:p>
    <w:p w14:paraId="4AC44EB0" w14:textId="77777777" w:rsidR="001A3FA7" w:rsidRPr="00C42FA8" w:rsidRDefault="001A3FA7" w:rsidP="001A3FA7">
      <w:pPr>
        <w:autoSpaceDE w:val="0"/>
        <w:autoSpaceDN w:val="0"/>
        <w:adjustRightInd w:val="0"/>
        <w:spacing w:after="0" w:line="360" w:lineRule="auto"/>
        <w:ind w:firstLine="708"/>
        <w:jc w:val="both"/>
        <w:rPr>
          <w:color w:val="000000"/>
        </w:rPr>
      </w:pPr>
      <w:r>
        <w:t>S</w:t>
      </w:r>
      <w:r w:rsidR="00C45469" w:rsidRPr="00C42FA8">
        <w:t xml:space="preserve">in embargo, </w:t>
      </w:r>
      <w:r w:rsidR="00F65CB1">
        <w:t xml:space="preserve">aún </w:t>
      </w:r>
      <w:r w:rsidR="00F65CB1" w:rsidRPr="00C42FA8">
        <w:t>es escasa</w:t>
      </w:r>
      <w:r w:rsidR="00F65CB1">
        <w:t xml:space="preserve"> </w:t>
      </w:r>
      <w:r w:rsidR="00C45469" w:rsidRPr="00C42FA8">
        <w:t xml:space="preserve">la </w:t>
      </w:r>
      <w:r w:rsidR="002C4665" w:rsidRPr="00C42FA8">
        <w:t xml:space="preserve">evidencia empírica </w:t>
      </w:r>
      <w:r w:rsidR="00B6567E">
        <w:t>para determinar el papel del líder</w:t>
      </w:r>
      <w:r w:rsidR="002C4665" w:rsidRPr="00C42FA8">
        <w:t xml:space="preserve"> </w:t>
      </w:r>
      <w:r w:rsidR="00C45469" w:rsidRPr="00C42FA8">
        <w:t xml:space="preserve">como mediador entre el </w:t>
      </w:r>
      <w:r w:rsidR="002C4665" w:rsidRPr="00C42FA8">
        <w:t>liderazgo transformacional y el bienestar psicológico en el trabajo de los</w:t>
      </w:r>
      <w:r w:rsidR="00C45469" w:rsidRPr="00C42FA8">
        <w:t xml:space="preserve"> empleados (Braun, Peus, Weisweiler</w:t>
      </w:r>
      <w:r w:rsidR="00626257" w:rsidRPr="00C42FA8">
        <w:t xml:space="preserve"> </w:t>
      </w:r>
      <w:r w:rsidR="00C45469" w:rsidRPr="00C42FA8">
        <w:t>y Frey, 2013; Gilstrap y Collins, 20</w:t>
      </w:r>
      <w:r w:rsidR="002C4665" w:rsidRPr="00C42FA8">
        <w:t>12</w:t>
      </w:r>
      <w:r w:rsidR="00C45469" w:rsidRPr="00C42FA8">
        <w:t>).</w:t>
      </w:r>
      <w:r>
        <w:t xml:space="preserve"> De hecho, </w:t>
      </w:r>
      <w:r w:rsidR="00B6567E" w:rsidRPr="00C42FA8">
        <w:rPr>
          <w:color w:val="000000"/>
        </w:rPr>
        <w:t xml:space="preserve">Perilla y Gómez (2017) </w:t>
      </w:r>
      <w:r w:rsidR="00B6567E">
        <w:rPr>
          <w:color w:val="000000"/>
        </w:rPr>
        <w:t>—</w:t>
      </w:r>
      <w:r w:rsidR="00B6567E" w:rsidRPr="00C42FA8">
        <w:rPr>
          <w:color w:val="000000"/>
        </w:rPr>
        <w:t xml:space="preserve">citando a </w:t>
      </w:r>
      <w:r w:rsidR="00B6567E" w:rsidRPr="00C42FA8">
        <w:t>Kelloway, Turner, Barling y Loughlin (2012)</w:t>
      </w:r>
      <w:r w:rsidR="00B6567E">
        <w:t>—</w:t>
      </w:r>
      <w:r w:rsidR="00B6567E" w:rsidRPr="00C42FA8">
        <w:t xml:space="preserve"> </w:t>
      </w:r>
      <w:r w:rsidR="00B6567E" w:rsidRPr="00C42FA8">
        <w:rPr>
          <w:color w:val="000000"/>
        </w:rPr>
        <w:t xml:space="preserve">mencionan que su investigación es </w:t>
      </w:r>
      <w:r>
        <w:rPr>
          <w:color w:val="000000"/>
        </w:rPr>
        <w:t xml:space="preserve">la única </w:t>
      </w:r>
      <w:r w:rsidR="00B6567E">
        <w:rPr>
          <w:color w:val="000000"/>
        </w:rPr>
        <w:t xml:space="preserve">que </w:t>
      </w:r>
      <w:r w:rsidR="00647298">
        <w:rPr>
          <w:color w:val="000000"/>
        </w:rPr>
        <w:t>explora</w:t>
      </w:r>
      <w:r>
        <w:rPr>
          <w:color w:val="000000"/>
        </w:rPr>
        <w:t xml:space="preserve"> </w:t>
      </w:r>
      <w:r w:rsidR="00B6567E" w:rsidRPr="00C42FA8">
        <w:rPr>
          <w:color w:val="000000"/>
        </w:rPr>
        <w:t>la relación del liderazgo transformacional con el bienestar psicológico de</w:t>
      </w:r>
      <w:r w:rsidR="00B6567E">
        <w:rPr>
          <w:color w:val="000000"/>
        </w:rPr>
        <w:t xml:space="preserve"> </w:t>
      </w:r>
      <w:r w:rsidR="00B6567E" w:rsidRPr="00C42FA8">
        <w:rPr>
          <w:color w:val="000000"/>
        </w:rPr>
        <w:t>los empleados</w:t>
      </w:r>
      <w:r w:rsidR="00B6567E">
        <w:rPr>
          <w:color w:val="000000"/>
        </w:rPr>
        <w:t xml:space="preserve">, lo cual </w:t>
      </w:r>
      <w:r w:rsidR="00B6567E" w:rsidRPr="00C42FA8">
        <w:rPr>
          <w:color w:val="000000"/>
        </w:rPr>
        <w:t xml:space="preserve">se </w:t>
      </w:r>
      <w:r>
        <w:rPr>
          <w:color w:val="000000"/>
        </w:rPr>
        <w:t>concretó con</w:t>
      </w:r>
      <w:r w:rsidR="00B6567E" w:rsidRPr="00C42FA8">
        <w:rPr>
          <w:color w:val="000000"/>
        </w:rPr>
        <w:t xml:space="preserve"> un grupo de 436 trabajadores de una empresa de telecomunicaciones canadiense.</w:t>
      </w:r>
      <w:r>
        <w:rPr>
          <w:color w:val="000000"/>
        </w:rPr>
        <w:t xml:space="preserve"> No obstante, vale acotar que </w:t>
      </w:r>
      <w:r w:rsidRPr="00C42FA8">
        <w:rPr>
          <w:color w:val="000000"/>
        </w:rPr>
        <w:t xml:space="preserve">el bienestar psicológico se midió con el cuestionario general de </w:t>
      </w:r>
      <w:r w:rsidRPr="00C42FA8">
        <w:t>salud (Goldberg, 1972), un instrumento diseñado para evaluar problemas de salud mental a través del reporte de síntomas de malestar</w:t>
      </w:r>
      <w:r>
        <w:t>,</w:t>
      </w:r>
      <w:r w:rsidRPr="00C42FA8">
        <w:t xml:space="preserve"> </w:t>
      </w:r>
      <w:r>
        <w:t xml:space="preserve">en lugar del </w:t>
      </w:r>
      <w:r w:rsidRPr="00C42FA8">
        <w:t xml:space="preserve">bienestar psicológico propiamente dicho (García, 1999). </w:t>
      </w:r>
      <w:r w:rsidRPr="00C42FA8">
        <w:rPr>
          <w:color w:val="000000"/>
        </w:rPr>
        <w:t>Los resultados mostraron una mediación total de la confianza en la relación entre el liderazgo transformacional y el bienestar de los empleados (más exactamente, la ausencia de malestar).</w:t>
      </w:r>
    </w:p>
    <w:p w14:paraId="680B82A9" w14:textId="77777777" w:rsidR="00685E6E" w:rsidRDefault="00B6567E" w:rsidP="00685E6E">
      <w:pPr>
        <w:autoSpaceDE w:val="0"/>
        <w:autoSpaceDN w:val="0"/>
        <w:adjustRightInd w:val="0"/>
        <w:spacing w:after="0" w:line="360" w:lineRule="auto"/>
        <w:ind w:firstLine="708"/>
        <w:jc w:val="both"/>
        <w:rPr>
          <w:color w:val="000000"/>
        </w:rPr>
      </w:pPr>
      <w:r>
        <w:rPr>
          <w:color w:val="000000"/>
        </w:rPr>
        <w:lastRenderedPageBreak/>
        <w:t>Por ese motivo, en la presente indagación</w:t>
      </w:r>
      <w:r w:rsidR="002C4665" w:rsidRPr="00C42FA8">
        <w:rPr>
          <w:color w:val="000000"/>
        </w:rPr>
        <w:t xml:space="preserve"> se incluye</w:t>
      </w:r>
      <w:r w:rsidR="00C45469" w:rsidRPr="00C42FA8">
        <w:rPr>
          <w:color w:val="000000"/>
        </w:rPr>
        <w:t xml:space="preserve"> </w:t>
      </w:r>
      <w:r w:rsidR="002C4665" w:rsidRPr="00C42FA8">
        <w:rPr>
          <w:color w:val="000000"/>
        </w:rPr>
        <w:t>la variable de la confianza en el líder como mediadora entre el estilo de liderazgo transformacional y el bienestar psicológico en el trabajo.</w:t>
      </w:r>
      <w:r>
        <w:rPr>
          <w:color w:val="000000"/>
        </w:rPr>
        <w:t xml:space="preserve"> </w:t>
      </w:r>
      <w:r w:rsidR="001A3FA7">
        <w:rPr>
          <w:color w:val="000000"/>
        </w:rPr>
        <w:t xml:space="preserve">En síntesis, </w:t>
      </w:r>
      <w:r w:rsidR="00C45469" w:rsidRPr="00C42FA8">
        <w:rPr>
          <w:color w:val="000000"/>
        </w:rPr>
        <w:t xml:space="preserve">este estudio </w:t>
      </w:r>
      <w:r w:rsidR="001A3FA7">
        <w:rPr>
          <w:color w:val="000000"/>
        </w:rPr>
        <w:t xml:space="preserve">ha sido diseñado </w:t>
      </w:r>
      <w:r w:rsidR="00AC6F68" w:rsidRPr="00C42FA8">
        <w:rPr>
          <w:color w:val="000000"/>
        </w:rPr>
        <w:t>con el propósito de aportar</w:t>
      </w:r>
      <w:r w:rsidR="002C4665" w:rsidRPr="00C42FA8">
        <w:rPr>
          <w:color w:val="000000"/>
        </w:rPr>
        <w:t xml:space="preserve"> </w:t>
      </w:r>
      <w:r w:rsidR="001A3FA7">
        <w:rPr>
          <w:color w:val="000000"/>
        </w:rPr>
        <w:t>información —</w:t>
      </w:r>
      <w:r w:rsidR="002C4665" w:rsidRPr="00C42FA8">
        <w:rPr>
          <w:color w:val="000000"/>
        </w:rPr>
        <w:t>en un contexto de baja competitividad</w:t>
      </w:r>
      <w:r w:rsidR="001A3FA7">
        <w:rPr>
          <w:color w:val="000000"/>
        </w:rPr>
        <w:t>,</w:t>
      </w:r>
      <w:r w:rsidR="002C4665" w:rsidRPr="00C42FA8">
        <w:rPr>
          <w:color w:val="000000"/>
        </w:rPr>
        <w:t xml:space="preserve"> como lo es el estado de Durango</w:t>
      </w:r>
      <w:r w:rsidR="001A3FA7">
        <w:rPr>
          <w:color w:val="000000"/>
        </w:rPr>
        <w:t>—</w:t>
      </w:r>
      <w:r w:rsidR="002C4665" w:rsidRPr="00C42FA8">
        <w:rPr>
          <w:color w:val="000000"/>
        </w:rPr>
        <w:t xml:space="preserve"> </w:t>
      </w:r>
      <w:r w:rsidR="00983FB5">
        <w:rPr>
          <w:color w:val="000000"/>
        </w:rPr>
        <w:t xml:space="preserve">sobre la forma en que </w:t>
      </w:r>
      <w:r w:rsidR="002C4665" w:rsidRPr="00C42FA8">
        <w:rPr>
          <w:color w:val="000000"/>
        </w:rPr>
        <w:t xml:space="preserve">el bienestar psicológico en el trabajo supeditado a un </w:t>
      </w:r>
      <w:r w:rsidR="00AC6F68" w:rsidRPr="00C42FA8">
        <w:rPr>
          <w:color w:val="000000"/>
        </w:rPr>
        <w:t>liderazgo transformacional puede</w:t>
      </w:r>
      <w:r w:rsidR="002C4665" w:rsidRPr="00C42FA8">
        <w:rPr>
          <w:color w:val="000000"/>
        </w:rPr>
        <w:t xml:space="preserve"> gene</w:t>
      </w:r>
      <w:r w:rsidR="00AC6F68" w:rsidRPr="00C42FA8">
        <w:rPr>
          <w:color w:val="000000"/>
        </w:rPr>
        <w:t>rar oportunidades para una gestión más efectiva</w:t>
      </w:r>
      <w:r w:rsidR="002C4665" w:rsidRPr="00C42FA8">
        <w:rPr>
          <w:color w:val="000000"/>
        </w:rPr>
        <w:t xml:space="preserve"> como ventaja ante todas las </w:t>
      </w:r>
      <w:r w:rsidR="00983FB5">
        <w:rPr>
          <w:color w:val="000000"/>
        </w:rPr>
        <w:t>limitaciones</w:t>
      </w:r>
      <w:r w:rsidR="002C4665" w:rsidRPr="00C42FA8">
        <w:rPr>
          <w:color w:val="000000"/>
        </w:rPr>
        <w:t xml:space="preserve"> que </w:t>
      </w:r>
      <w:r w:rsidR="00983FB5">
        <w:rPr>
          <w:color w:val="000000"/>
        </w:rPr>
        <w:t xml:space="preserve">deben afrontar </w:t>
      </w:r>
      <w:r w:rsidR="002C4665" w:rsidRPr="00C42FA8">
        <w:rPr>
          <w:color w:val="000000"/>
        </w:rPr>
        <w:t xml:space="preserve">las </w:t>
      </w:r>
      <w:proofErr w:type="spellStart"/>
      <w:r w:rsidR="001A3FA7" w:rsidRPr="00C42FA8">
        <w:rPr>
          <w:color w:val="000000"/>
        </w:rPr>
        <w:t>mypes</w:t>
      </w:r>
      <w:proofErr w:type="spellEnd"/>
      <w:r w:rsidR="00AC6F68" w:rsidRPr="00C42FA8">
        <w:rPr>
          <w:color w:val="000000"/>
        </w:rPr>
        <w:t>.</w:t>
      </w:r>
    </w:p>
    <w:p w14:paraId="58BA58D6" w14:textId="77777777" w:rsidR="0073794F" w:rsidRDefault="0073794F" w:rsidP="00685E6E">
      <w:pPr>
        <w:autoSpaceDE w:val="0"/>
        <w:autoSpaceDN w:val="0"/>
        <w:adjustRightInd w:val="0"/>
        <w:spacing w:after="0" w:line="360" w:lineRule="auto"/>
        <w:ind w:firstLine="708"/>
        <w:jc w:val="both"/>
        <w:rPr>
          <w:color w:val="000000"/>
        </w:rPr>
      </w:pPr>
    </w:p>
    <w:p w14:paraId="5664F841" w14:textId="77777777" w:rsidR="00666F95" w:rsidRPr="002F7B6C" w:rsidRDefault="005140CF" w:rsidP="002F7B6C">
      <w:pPr>
        <w:pStyle w:val="Ttulo1"/>
        <w:jc w:val="center"/>
        <w:rPr>
          <w:rFonts w:eastAsia="Times New Roman"/>
          <w:bCs w:val="0"/>
          <w:color w:val="auto"/>
          <w:lang w:eastAsia="es-MX" w:bidi="es-MX"/>
        </w:rPr>
      </w:pPr>
      <w:r w:rsidRPr="002F7B6C">
        <w:rPr>
          <w:rFonts w:eastAsia="Times New Roman"/>
          <w:bCs w:val="0"/>
          <w:color w:val="auto"/>
          <w:lang w:eastAsia="es-MX" w:bidi="es-MX"/>
        </w:rPr>
        <w:t>Metodología</w:t>
      </w:r>
    </w:p>
    <w:p w14:paraId="7A94AF00" w14:textId="77777777" w:rsidR="00872369" w:rsidRPr="00C42FA8" w:rsidRDefault="005140CF" w:rsidP="005140CF">
      <w:pPr>
        <w:autoSpaceDE w:val="0"/>
        <w:autoSpaceDN w:val="0"/>
        <w:adjustRightInd w:val="0"/>
        <w:spacing w:after="0" w:line="360" w:lineRule="auto"/>
        <w:ind w:firstLine="708"/>
        <w:contextualSpacing/>
        <w:jc w:val="both"/>
      </w:pPr>
      <w:r w:rsidRPr="00C42FA8">
        <w:t xml:space="preserve">Se llevó a cabo un estudio cuantitativo, de corte transversal correlacional. </w:t>
      </w:r>
      <w:r w:rsidR="00983FB5">
        <w:t>En concreto, s</w:t>
      </w:r>
      <w:r w:rsidRPr="00C42FA8">
        <w:t>e realizó un estudio de caso</w:t>
      </w:r>
      <w:r w:rsidR="00983FB5">
        <w:t xml:space="preserve">, el cual se </w:t>
      </w:r>
      <w:r w:rsidR="006A11AC">
        <w:t>desarrolló</w:t>
      </w:r>
      <w:r w:rsidR="00983FB5">
        <w:t xml:space="preserve"> mediante </w:t>
      </w:r>
      <w:r w:rsidRPr="00C42FA8">
        <w:t>un censo a</w:t>
      </w:r>
      <w:r w:rsidR="00983FB5">
        <w:t>plicado</w:t>
      </w:r>
      <w:r w:rsidRPr="00C42FA8">
        <w:t xml:space="preserve"> </w:t>
      </w:r>
      <w:r w:rsidR="00983FB5">
        <w:t xml:space="preserve">a </w:t>
      </w:r>
      <w:r w:rsidRPr="00C42FA8">
        <w:t xml:space="preserve">los trabajadores de una pequeña empresa industrial </w:t>
      </w:r>
      <w:r w:rsidR="002D41F6">
        <w:t xml:space="preserve">(ubicada </w:t>
      </w:r>
      <w:r w:rsidR="002D41F6" w:rsidRPr="00C42FA8">
        <w:t>el municipio de Durango</w:t>
      </w:r>
      <w:r w:rsidR="002D41F6">
        <w:t>,</w:t>
      </w:r>
      <w:r w:rsidR="002D41F6" w:rsidRPr="00C42FA8">
        <w:t xml:space="preserve"> </w:t>
      </w:r>
      <w:r w:rsidR="002D41F6">
        <w:t>e</w:t>
      </w:r>
      <w:r w:rsidR="002D41F6" w:rsidRPr="00C42FA8">
        <w:t>stado de Durango, México</w:t>
      </w:r>
      <w:r w:rsidR="002D41F6">
        <w:t xml:space="preserve">) </w:t>
      </w:r>
      <w:r w:rsidRPr="00C42FA8">
        <w:t xml:space="preserve">que </w:t>
      </w:r>
      <w:r w:rsidR="00983FB5">
        <w:t xml:space="preserve">se encuentra </w:t>
      </w:r>
      <w:r w:rsidRPr="00C42FA8">
        <w:t xml:space="preserve">operando </w:t>
      </w:r>
      <w:r w:rsidR="002D41F6">
        <w:t xml:space="preserve">desde 2011 </w:t>
      </w:r>
      <w:r w:rsidRPr="00C42FA8">
        <w:t>en el mercado de la transformación de vidrio y aluminio</w:t>
      </w:r>
      <w:r w:rsidR="00983FB5">
        <w:t>.</w:t>
      </w:r>
      <w:r w:rsidRPr="00C42FA8">
        <w:t xml:space="preserve"> </w:t>
      </w:r>
      <w:r w:rsidR="00983FB5">
        <w:t>C</w:t>
      </w:r>
      <w:r w:rsidRPr="00C42FA8">
        <w:t xml:space="preserve">abe destacar que en sus inicios </w:t>
      </w:r>
      <w:r w:rsidR="00983FB5">
        <w:t xml:space="preserve">en la compañía </w:t>
      </w:r>
      <w:r w:rsidRPr="00C42FA8">
        <w:t>sol</w:t>
      </w:r>
      <w:r w:rsidR="00983FB5">
        <w:t>o</w:t>
      </w:r>
      <w:r w:rsidRPr="00C42FA8">
        <w:t xml:space="preserve"> operaban el actual gerente y </w:t>
      </w:r>
      <w:r w:rsidR="00983FB5">
        <w:t xml:space="preserve">el </w:t>
      </w:r>
      <w:r w:rsidRPr="00C42FA8">
        <w:t>dueño</w:t>
      </w:r>
      <w:r w:rsidR="00983FB5">
        <w:t xml:space="preserve"> empresario con un trabajador; sin embargo, a partir de 2015 pasaron de ser una </w:t>
      </w:r>
      <w:r w:rsidR="00872369" w:rsidRPr="00C42FA8">
        <w:t xml:space="preserve">microindustria a </w:t>
      </w:r>
      <w:r w:rsidR="00983FB5">
        <w:t xml:space="preserve">una </w:t>
      </w:r>
      <w:r w:rsidR="00872369" w:rsidRPr="00C42FA8">
        <w:t>pequeña industria,</w:t>
      </w:r>
      <w:r w:rsidRPr="00C42FA8">
        <w:t xml:space="preserve"> </w:t>
      </w:r>
      <w:r w:rsidR="00983FB5">
        <w:t xml:space="preserve">la cual en la actualidad se halla </w:t>
      </w:r>
      <w:r w:rsidRPr="00C42FA8">
        <w:t>constituida</w:t>
      </w:r>
      <w:r w:rsidR="00872369" w:rsidRPr="00C42FA8">
        <w:t xml:space="preserve"> </w:t>
      </w:r>
      <w:r w:rsidRPr="00C42FA8">
        <w:t xml:space="preserve">por </w:t>
      </w:r>
      <w:r w:rsidR="00872369" w:rsidRPr="00C42FA8">
        <w:t>25</w:t>
      </w:r>
      <w:r w:rsidRPr="00C42FA8">
        <w:t xml:space="preserve"> empleados</w:t>
      </w:r>
      <w:r w:rsidR="00872369" w:rsidRPr="00C42FA8">
        <w:t xml:space="preserve"> (únicamente dos trabajadores no fueron encuestados por</w:t>
      </w:r>
      <w:r w:rsidR="002D41F6">
        <w:t>que se encontraban fuera de la empresa:</w:t>
      </w:r>
      <w:r w:rsidR="00872369" w:rsidRPr="00C42FA8">
        <w:t xml:space="preserve"> uno por permiso médico y otro por cuestiones laborales).</w:t>
      </w:r>
      <w:r w:rsidRPr="00C42FA8">
        <w:t xml:space="preserve"> </w:t>
      </w:r>
    </w:p>
    <w:p w14:paraId="350A8797" w14:textId="77777777" w:rsidR="005140CF" w:rsidRDefault="002D41F6" w:rsidP="00872369">
      <w:pPr>
        <w:autoSpaceDE w:val="0"/>
        <w:autoSpaceDN w:val="0"/>
        <w:adjustRightInd w:val="0"/>
        <w:spacing w:after="0" w:line="360" w:lineRule="auto"/>
        <w:ind w:firstLine="708"/>
        <w:contextualSpacing/>
        <w:jc w:val="both"/>
      </w:pPr>
      <w:r>
        <w:t>En cuanto a las características de la muestra, 91.</w:t>
      </w:r>
      <w:r w:rsidR="005140CF" w:rsidRPr="00C42FA8">
        <w:t>3</w:t>
      </w:r>
      <w:r>
        <w:t> </w:t>
      </w:r>
      <w:r w:rsidR="005140CF" w:rsidRPr="00C42FA8">
        <w:t>% estu</w:t>
      </w:r>
      <w:r>
        <w:t>vo compuesta por hombres y 8.</w:t>
      </w:r>
      <w:r w:rsidR="005140CF" w:rsidRPr="00C42FA8">
        <w:t>7</w:t>
      </w:r>
      <w:r>
        <w:t> </w:t>
      </w:r>
      <w:r w:rsidR="005140CF" w:rsidRPr="00C42FA8">
        <w:t>% por mujeres. La edad media de las p</w:t>
      </w:r>
      <w:r w:rsidR="00872369" w:rsidRPr="00C42FA8">
        <w:t xml:space="preserve">ersonas </w:t>
      </w:r>
      <w:r>
        <w:t>fue</w:t>
      </w:r>
      <w:r w:rsidR="00872369" w:rsidRPr="00C42FA8">
        <w:t xml:space="preserve"> de 33.4 años</w:t>
      </w:r>
      <w:r>
        <w:t xml:space="preserve">. En relación con el </w:t>
      </w:r>
      <w:r w:rsidR="005140CF" w:rsidRPr="00C42FA8">
        <w:t>nivel educativo</w:t>
      </w:r>
      <w:r>
        <w:t>,</w:t>
      </w:r>
      <w:r w:rsidR="005140CF" w:rsidRPr="00C42FA8">
        <w:t xml:space="preserve"> </w:t>
      </w:r>
      <w:r>
        <w:t>17.</w:t>
      </w:r>
      <w:r w:rsidRPr="00C42FA8">
        <w:t>4 %</w:t>
      </w:r>
      <w:r>
        <w:t xml:space="preserve"> tenía e</w:t>
      </w:r>
      <w:r w:rsidR="005140CF" w:rsidRPr="00C42FA8">
        <w:t xml:space="preserve">studios básicos (primaria y secundaria), </w:t>
      </w:r>
      <w:r>
        <w:t>43.</w:t>
      </w:r>
      <w:r w:rsidRPr="00C42FA8">
        <w:t>5</w:t>
      </w:r>
      <w:r>
        <w:t> </w:t>
      </w:r>
      <w:r w:rsidRPr="00C42FA8">
        <w:t>%</w:t>
      </w:r>
      <w:r>
        <w:t xml:space="preserve"> b</w:t>
      </w:r>
      <w:r w:rsidR="005140CF" w:rsidRPr="00C42FA8">
        <w:t xml:space="preserve">achillerato/preparatoria general, </w:t>
      </w:r>
      <w:r>
        <w:t>8.</w:t>
      </w:r>
      <w:r w:rsidRPr="00C42FA8">
        <w:t>7</w:t>
      </w:r>
      <w:r>
        <w:t> </w:t>
      </w:r>
      <w:r w:rsidRPr="00C42FA8">
        <w:t>%</w:t>
      </w:r>
      <w:r>
        <w:t xml:space="preserve"> t</w:t>
      </w:r>
      <w:r w:rsidR="005140CF" w:rsidRPr="00C42FA8">
        <w:t xml:space="preserve">écnico superior universitario y </w:t>
      </w:r>
      <w:r w:rsidR="001F21C0" w:rsidRPr="00C42FA8">
        <w:t>30</w:t>
      </w:r>
      <w:r w:rsidR="001F21C0">
        <w:t>.</w:t>
      </w:r>
      <w:r w:rsidR="001F21C0" w:rsidRPr="00C42FA8">
        <w:t>4</w:t>
      </w:r>
      <w:r w:rsidR="001F21C0">
        <w:t> </w:t>
      </w:r>
      <w:r w:rsidR="001F21C0" w:rsidRPr="00C42FA8">
        <w:t>%</w:t>
      </w:r>
      <w:r w:rsidR="001F21C0">
        <w:t xml:space="preserve"> </w:t>
      </w:r>
      <w:r>
        <w:t>l</w:t>
      </w:r>
      <w:r w:rsidR="005140CF" w:rsidRPr="00C42FA8">
        <w:t>icenciatura</w:t>
      </w:r>
      <w:r w:rsidR="001F21C0">
        <w:t>. Asimismo,</w:t>
      </w:r>
      <w:r w:rsidR="005140CF" w:rsidRPr="00C42FA8">
        <w:t xml:space="preserve"> en </w:t>
      </w:r>
      <w:r w:rsidR="001F21C0">
        <w:t>sus</w:t>
      </w:r>
      <w:r w:rsidR="005140CF" w:rsidRPr="00C42FA8">
        <w:t xml:space="preserve"> actual</w:t>
      </w:r>
      <w:r w:rsidR="001F21C0">
        <w:t>es</w:t>
      </w:r>
      <w:r w:rsidR="005140CF" w:rsidRPr="00C42FA8">
        <w:t xml:space="preserve"> </w:t>
      </w:r>
      <w:r w:rsidR="001F21C0" w:rsidRPr="00C42FA8">
        <w:t>ocupacion</w:t>
      </w:r>
      <w:r w:rsidR="001F21C0">
        <w:t>es</w:t>
      </w:r>
      <w:r w:rsidR="005140CF" w:rsidRPr="00C42FA8">
        <w:t xml:space="preserve"> tienen un promedio de </w:t>
      </w:r>
      <w:r w:rsidR="001F21C0">
        <w:rPr>
          <w:color w:val="000000"/>
        </w:rPr>
        <w:t>30.</w:t>
      </w:r>
      <w:r w:rsidR="005140CF" w:rsidRPr="00C42FA8">
        <w:rPr>
          <w:color w:val="000000"/>
        </w:rPr>
        <w:t>1 meses.</w:t>
      </w:r>
      <w:r w:rsidR="001F21C0">
        <w:rPr>
          <w:color w:val="000000"/>
        </w:rPr>
        <w:t xml:space="preserve"> </w:t>
      </w:r>
      <w:r w:rsidR="001F21C0">
        <w:t>L</w:t>
      </w:r>
      <w:r w:rsidR="005140CF" w:rsidRPr="00C42FA8">
        <w:t xml:space="preserve">a recolección de los datos se realizó por medio de encuesta en un mismo momento para todas las variables y la fuente de </w:t>
      </w:r>
      <w:r w:rsidR="001F21C0">
        <w:t>información</w:t>
      </w:r>
      <w:r w:rsidR="005140CF" w:rsidRPr="00C42FA8">
        <w:t xml:space="preserve"> </w:t>
      </w:r>
      <w:r w:rsidR="001F21C0">
        <w:t xml:space="preserve">siempre </w:t>
      </w:r>
      <w:r w:rsidR="005140CF" w:rsidRPr="00C42FA8">
        <w:t>fue la misma, es decir, los empleados.</w:t>
      </w:r>
    </w:p>
    <w:p w14:paraId="7000779B" w14:textId="77777777" w:rsidR="001F21C0" w:rsidRDefault="001F21C0" w:rsidP="00872369">
      <w:pPr>
        <w:autoSpaceDE w:val="0"/>
        <w:autoSpaceDN w:val="0"/>
        <w:adjustRightInd w:val="0"/>
        <w:spacing w:after="0" w:line="360" w:lineRule="auto"/>
        <w:ind w:firstLine="708"/>
        <w:contextualSpacing/>
        <w:jc w:val="both"/>
      </w:pPr>
    </w:p>
    <w:p w14:paraId="648BCFE5" w14:textId="1ECF754F" w:rsidR="00127606" w:rsidRDefault="00127606" w:rsidP="00872369">
      <w:pPr>
        <w:autoSpaceDE w:val="0"/>
        <w:autoSpaceDN w:val="0"/>
        <w:adjustRightInd w:val="0"/>
        <w:spacing w:after="0" w:line="360" w:lineRule="auto"/>
        <w:ind w:firstLine="708"/>
        <w:contextualSpacing/>
        <w:jc w:val="both"/>
      </w:pPr>
    </w:p>
    <w:p w14:paraId="17D40AE1" w14:textId="3CB20F8A" w:rsidR="00D35C7B" w:rsidRDefault="00D35C7B" w:rsidP="00872369">
      <w:pPr>
        <w:autoSpaceDE w:val="0"/>
        <w:autoSpaceDN w:val="0"/>
        <w:adjustRightInd w:val="0"/>
        <w:spacing w:after="0" w:line="360" w:lineRule="auto"/>
        <w:ind w:firstLine="708"/>
        <w:contextualSpacing/>
        <w:jc w:val="both"/>
      </w:pPr>
    </w:p>
    <w:p w14:paraId="160AE4A5" w14:textId="3AF25AAB" w:rsidR="00D35C7B" w:rsidRDefault="00D35C7B" w:rsidP="00872369">
      <w:pPr>
        <w:autoSpaceDE w:val="0"/>
        <w:autoSpaceDN w:val="0"/>
        <w:adjustRightInd w:val="0"/>
        <w:spacing w:after="0" w:line="360" w:lineRule="auto"/>
        <w:ind w:firstLine="708"/>
        <w:contextualSpacing/>
        <w:jc w:val="both"/>
      </w:pPr>
    </w:p>
    <w:p w14:paraId="7E8D2BF5" w14:textId="08DC4E0B" w:rsidR="00D35C7B" w:rsidRDefault="00D35C7B" w:rsidP="00872369">
      <w:pPr>
        <w:autoSpaceDE w:val="0"/>
        <w:autoSpaceDN w:val="0"/>
        <w:adjustRightInd w:val="0"/>
        <w:spacing w:after="0" w:line="360" w:lineRule="auto"/>
        <w:ind w:firstLine="708"/>
        <w:contextualSpacing/>
        <w:jc w:val="both"/>
      </w:pPr>
    </w:p>
    <w:p w14:paraId="06AAAF2D" w14:textId="77777777" w:rsidR="00D35C7B" w:rsidRPr="00C42FA8" w:rsidRDefault="00D35C7B" w:rsidP="00872369">
      <w:pPr>
        <w:autoSpaceDE w:val="0"/>
        <w:autoSpaceDN w:val="0"/>
        <w:adjustRightInd w:val="0"/>
        <w:spacing w:after="0" w:line="360" w:lineRule="auto"/>
        <w:ind w:firstLine="708"/>
        <w:contextualSpacing/>
        <w:jc w:val="both"/>
      </w:pPr>
    </w:p>
    <w:p w14:paraId="24920051" w14:textId="77777777" w:rsidR="00D35C7B" w:rsidRDefault="00D35C7B" w:rsidP="002F7B6C">
      <w:pPr>
        <w:pStyle w:val="Ttulo1"/>
        <w:jc w:val="center"/>
        <w:rPr>
          <w:rFonts w:eastAsia="Times New Roman"/>
          <w:bCs w:val="0"/>
          <w:color w:val="auto"/>
          <w:sz w:val="28"/>
          <w:lang w:eastAsia="es-MX" w:bidi="es-MX"/>
        </w:rPr>
      </w:pPr>
    </w:p>
    <w:p w14:paraId="5CF967A6" w14:textId="5D0F0725" w:rsidR="005140CF" w:rsidRPr="002F7B6C" w:rsidRDefault="005140CF" w:rsidP="002F7B6C">
      <w:pPr>
        <w:pStyle w:val="Ttulo1"/>
        <w:jc w:val="center"/>
        <w:rPr>
          <w:rFonts w:eastAsia="Times New Roman"/>
          <w:bCs w:val="0"/>
          <w:color w:val="auto"/>
          <w:sz w:val="28"/>
          <w:lang w:eastAsia="es-MX" w:bidi="es-MX"/>
        </w:rPr>
      </w:pPr>
      <w:r w:rsidRPr="002F7B6C">
        <w:rPr>
          <w:rFonts w:eastAsia="Times New Roman"/>
          <w:bCs w:val="0"/>
          <w:color w:val="auto"/>
          <w:sz w:val="28"/>
          <w:lang w:eastAsia="es-MX" w:bidi="es-MX"/>
        </w:rPr>
        <w:lastRenderedPageBreak/>
        <w:t>Instrumentos</w:t>
      </w:r>
      <w:r w:rsidR="00872369" w:rsidRPr="002F7B6C">
        <w:rPr>
          <w:rFonts w:eastAsia="Times New Roman"/>
          <w:bCs w:val="0"/>
          <w:color w:val="auto"/>
          <w:sz w:val="28"/>
          <w:lang w:eastAsia="es-MX" w:bidi="es-MX"/>
        </w:rPr>
        <w:t xml:space="preserve"> de medición</w:t>
      </w:r>
    </w:p>
    <w:p w14:paraId="670A2C56" w14:textId="410E838B" w:rsidR="00231912" w:rsidRDefault="00872369" w:rsidP="00C42FA8">
      <w:pPr>
        <w:autoSpaceDE w:val="0"/>
        <w:autoSpaceDN w:val="0"/>
        <w:adjustRightInd w:val="0"/>
        <w:spacing w:after="0" w:line="360" w:lineRule="auto"/>
        <w:ind w:firstLine="708"/>
        <w:contextualSpacing/>
        <w:jc w:val="both"/>
        <w:rPr>
          <w:rFonts w:eastAsia="AdvTimes"/>
        </w:rPr>
      </w:pPr>
      <w:r w:rsidRPr="00C42FA8">
        <w:t xml:space="preserve">El cuestionario aplicado </w:t>
      </w:r>
      <w:r w:rsidR="006A11AC">
        <w:t>estuvo</w:t>
      </w:r>
      <w:r w:rsidR="005140CF" w:rsidRPr="00C42FA8">
        <w:t xml:space="preserve"> integrado por los siguientes componentes </w:t>
      </w:r>
      <w:r w:rsidR="001F21C0">
        <w:t>y escalas</w:t>
      </w:r>
      <w:r w:rsidR="003C0177">
        <w:t>, se observan en la Tabla 1</w:t>
      </w:r>
      <w:r w:rsidR="001F21C0">
        <w:t>:</w:t>
      </w:r>
      <w:r w:rsidR="00E25A62" w:rsidRPr="00C42FA8">
        <w:t xml:space="preserve"> </w:t>
      </w:r>
      <w:r w:rsidR="0092319C">
        <w:t>la</w:t>
      </w:r>
      <w:r w:rsidR="00E25A62" w:rsidRPr="00C42FA8">
        <w:t xml:space="preserve"> primera parte </w:t>
      </w:r>
      <w:r w:rsidR="0092319C">
        <w:t xml:space="preserve">se usó </w:t>
      </w:r>
      <w:r w:rsidR="00E25A62" w:rsidRPr="00C42FA8">
        <w:t>para</w:t>
      </w:r>
      <w:r w:rsidR="0092319C">
        <w:t xml:space="preserve"> conocer</w:t>
      </w:r>
      <w:r w:rsidR="00E25A62" w:rsidRPr="00C42FA8">
        <w:t xml:space="preserve"> </w:t>
      </w:r>
      <w:r w:rsidR="0092319C">
        <w:t xml:space="preserve">las </w:t>
      </w:r>
      <w:r w:rsidR="00E25A62" w:rsidRPr="00C42FA8">
        <w:t xml:space="preserve">variables sociodemográficas </w:t>
      </w:r>
      <w:r w:rsidR="0092319C">
        <w:t>(</w:t>
      </w:r>
      <w:r w:rsidR="00E25A62" w:rsidRPr="00C42FA8">
        <w:t xml:space="preserve">edad, sexo, nivel de estudios, tiempo laborando en la empresa, puesto </w:t>
      </w:r>
      <w:r w:rsidR="001F21C0">
        <w:t>ocupado</w:t>
      </w:r>
      <w:r w:rsidR="00E25A62" w:rsidRPr="00C42FA8">
        <w:t xml:space="preserve"> en la actualidad</w:t>
      </w:r>
      <w:r w:rsidR="0092319C">
        <w:t>)</w:t>
      </w:r>
      <w:r w:rsidR="00E25A62" w:rsidRPr="00C42FA8">
        <w:t xml:space="preserve">. </w:t>
      </w:r>
      <w:r w:rsidR="0092319C">
        <w:t>La</w:t>
      </w:r>
      <w:r w:rsidR="00E25A62" w:rsidRPr="00C42FA8">
        <w:t xml:space="preserve"> segunda parte </w:t>
      </w:r>
      <w:r w:rsidR="0092319C">
        <w:t xml:space="preserve">se empleó </w:t>
      </w:r>
      <w:r w:rsidR="00E25A62" w:rsidRPr="00C42FA8">
        <w:t>para determinar el liderazgo transformacional</w:t>
      </w:r>
      <w:r w:rsidR="0092319C">
        <w:t>, para lo cual</w:t>
      </w:r>
      <w:r w:rsidR="00E25A62" w:rsidRPr="00C42FA8">
        <w:t xml:space="preserve"> </w:t>
      </w:r>
      <w:r w:rsidR="0092319C">
        <w:t xml:space="preserve">se utilizó </w:t>
      </w:r>
      <w:r w:rsidR="00E25A62" w:rsidRPr="00C42FA8">
        <w:t xml:space="preserve">la encuesta diseñada y validada por </w:t>
      </w:r>
      <w:r w:rsidR="00E25A62" w:rsidRPr="00C42FA8">
        <w:rPr>
          <w:rFonts w:eastAsia="AdvTimes"/>
        </w:rPr>
        <w:t>Podsakoff</w:t>
      </w:r>
      <w:r w:rsidR="000679BA">
        <w:rPr>
          <w:rFonts w:eastAsia="AdvTimes"/>
        </w:rPr>
        <w:t xml:space="preserve"> </w:t>
      </w:r>
      <w:r w:rsidR="000679BA" w:rsidRPr="000679BA">
        <w:rPr>
          <w:rFonts w:eastAsia="AdvTimes"/>
          <w:i/>
        </w:rPr>
        <w:t>et al</w:t>
      </w:r>
      <w:r w:rsidR="000679BA">
        <w:rPr>
          <w:rFonts w:eastAsia="AdvTimes"/>
        </w:rPr>
        <w:t>.</w:t>
      </w:r>
      <w:r w:rsidR="000679BA" w:rsidRPr="00C42FA8">
        <w:rPr>
          <w:rFonts w:eastAsia="AdvTimes"/>
        </w:rPr>
        <w:t xml:space="preserve"> </w:t>
      </w:r>
      <w:r w:rsidR="000679BA">
        <w:rPr>
          <w:rFonts w:eastAsia="AdvTimes"/>
        </w:rPr>
        <w:t>(1990</w:t>
      </w:r>
      <w:r w:rsidR="00E25A62" w:rsidRPr="00C42FA8">
        <w:rPr>
          <w:rFonts w:eastAsia="AdvTimes"/>
        </w:rPr>
        <w:t xml:space="preserve">), </w:t>
      </w:r>
      <w:r w:rsidR="0092319C">
        <w:rPr>
          <w:rFonts w:eastAsia="AdvTimes"/>
        </w:rPr>
        <w:t>que</w:t>
      </w:r>
      <w:r w:rsidR="00E25A62" w:rsidRPr="00C42FA8">
        <w:rPr>
          <w:rFonts w:eastAsia="AdvTimes"/>
        </w:rPr>
        <w:t xml:space="preserve"> consta de 5 ítems medidos en una escala de tipo Likert del 1 al 5 </w:t>
      </w:r>
      <w:r w:rsidR="001F21C0">
        <w:rPr>
          <w:rFonts w:eastAsia="AdvTimes"/>
        </w:rPr>
        <w:t xml:space="preserve">con opciones de respuesta que van de </w:t>
      </w:r>
      <w:r w:rsidR="00E25A62" w:rsidRPr="001F21C0">
        <w:rPr>
          <w:rFonts w:eastAsia="AdvTimes"/>
          <w:i/>
        </w:rPr>
        <w:t>nulo</w:t>
      </w:r>
      <w:r w:rsidR="00E25A62" w:rsidRPr="00C42FA8">
        <w:rPr>
          <w:rFonts w:eastAsia="AdvTimes"/>
        </w:rPr>
        <w:t xml:space="preserve"> a </w:t>
      </w:r>
      <w:r w:rsidR="00E25A62" w:rsidRPr="001F21C0">
        <w:rPr>
          <w:rFonts w:eastAsia="AdvTimes"/>
          <w:i/>
        </w:rPr>
        <w:t>totalmente</w:t>
      </w:r>
      <w:r w:rsidR="00E25A62" w:rsidRPr="00C42FA8">
        <w:rPr>
          <w:rFonts w:eastAsia="AdvTimes"/>
        </w:rPr>
        <w:t xml:space="preserve">. </w:t>
      </w:r>
      <w:r w:rsidR="0092319C">
        <w:rPr>
          <w:rFonts w:eastAsia="AdvTimes"/>
        </w:rPr>
        <w:t>En l</w:t>
      </w:r>
      <w:r w:rsidR="00E25A62" w:rsidRPr="00C42FA8">
        <w:rPr>
          <w:rFonts w:eastAsia="AdvTimes"/>
        </w:rPr>
        <w:t xml:space="preserve">a tercera parte </w:t>
      </w:r>
      <w:r w:rsidR="0092319C">
        <w:rPr>
          <w:rFonts w:eastAsia="AdvTimes"/>
        </w:rPr>
        <w:t>se examinó</w:t>
      </w:r>
      <w:r w:rsidR="00E25A62" w:rsidRPr="00C42FA8">
        <w:rPr>
          <w:rFonts w:eastAsia="AdvTimes"/>
        </w:rPr>
        <w:t xml:space="preserve"> la confianza en el líder utilizando la escala propuesta y validada por </w:t>
      </w:r>
      <w:r w:rsidR="002E108A" w:rsidRPr="00C42FA8">
        <w:rPr>
          <w:rFonts w:eastAsia="AdvTimes"/>
        </w:rPr>
        <w:t xml:space="preserve">Cook y Wall (1980), </w:t>
      </w:r>
      <w:r w:rsidR="00D44332">
        <w:rPr>
          <w:rFonts w:eastAsia="AdvTimes"/>
        </w:rPr>
        <w:t xml:space="preserve">específicamente </w:t>
      </w:r>
      <w:r w:rsidR="002E108A" w:rsidRPr="00C42FA8">
        <w:rPr>
          <w:rFonts w:eastAsia="AdvTimes"/>
        </w:rPr>
        <w:t>la</w:t>
      </w:r>
      <w:r w:rsidR="002F6346" w:rsidRPr="00C42FA8">
        <w:rPr>
          <w:rFonts w:eastAsia="AdvTimes"/>
        </w:rPr>
        <w:t xml:space="preserve"> que </w:t>
      </w:r>
      <w:r w:rsidR="00D44332">
        <w:rPr>
          <w:rFonts w:eastAsia="AdvTimes"/>
        </w:rPr>
        <w:t xml:space="preserve">mide la confianza en el gerente; esta se encuentra conformada por </w:t>
      </w:r>
      <w:r w:rsidR="002F6346" w:rsidRPr="00C42FA8">
        <w:rPr>
          <w:rFonts w:eastAsia="AdvTimes"/>
        </w:rPr>
        <w:t xml:space="preserve">6 ítems </w:t>
      </w:r>
      <w:r w:rsidR="00D44332">
        <w:rPr>
          <w:rFonts w:eastAsia="AdvTimes"/>
        </w:rPr>
        <w:t xml:space="preserve">(dos de los cuales </w:t>
      </w:r>
      <w:r w:rsidR="002F6346" w:rsidRPr="00C42FA8">
        <w:rPr>
          <w:rFonts w:eastAsia="AdvTimes"/>
        </w:rPr>
        <w:t>miden de manera inversa</w:t>
      </w:r>
      <w:r w:rsidR="00D44332">
        <w:rPr>
          <w:rFonts w:eastAsia="AdvTimes"/>
        </w:rPr>
        <w:t>) con</w:t>
      </w:r>
      <w:r w:rsidR="002F6346" w:rsidRPr="00C42FA8">
        <w:rPr>
          <w:rFonts w:eastAsia="AdvTimes"/>
        </w:rPr>
        <w:t xml:space="preserve"> una escala Likert del 1 al 5 </w:t>
      </w:r>
      <w:r w:rsidR="00D44332">
        <w:rPr>
          <w:rFonts w:eastAsia="AdvTimes"/>
        </w:rPr>
        <w:t>(</w:t>
      </w:r>
      <w:r w:rsidR="002F6346" w:rsidRPr="00C42FA8">
        <w:rPr>
          <w:rFonts w:eastAsia="AdvTimes"/>
        </w:rPr>
        <w:t xml:space="preserve">1 es </w:t>
      </w:r>
      <w:r w:rsidR="002F6346" w:rsidRPr="00D44332">
        <w:rPr>
          <w:rFonts w:eastAsia="AdvTimes"/>
          <w:i/>
        </w:rPr>
        <w:t>nulo</w:t>
      </w:r>
      <w:r w:rsidR="00D44332">
        <w:rPr>
          <w:rFonts w:eastAsia="AdvTimes"/>
        </w:rPr>
        <w:t xml:space="preserve"> y</w:t>
      </w:r>
      <w:r w:rsidR="002F6346" w:rsidRPr="00C42FA8">
        <w:rPr>
          <w:rFonts w:eastAsia="AdvTimes"/>
        </w:rPr>
        <w:t xml:space="preserve"> 5 </w:t>
      </w:r>
      <w:r w:rsidR="002F6346" w:rsidRPr="00D44332">
        <w:rPr>
          <w:rFonts w:eastAsia="AdvTimes"/>
          <w:i/>
        </w:rPr>
        <w:t>totalmente</w:t>
      </w:r>
      <w:r w:rsidR="00D44332">
        <w:rPr>
          <w:rFonts w:eastAsia="AdvTimes"/>
        </w:rPr>
        <w:t>)</w:t>
      </w:r>
      <w:r w:rsidR="002F6346" w:rsidRPr="00C42FA8">
        <w:rPr>
          <w:rFonts w:eastAsia="AdvTimes"/>
        </w:rPr>
        <w:t xml:space="preserve">. Por </w:t>
      </w:r>
      <w:r w:rsidR="002E108A" w:rsidRPr="00C42FA8">
        <w:rPr>
          <w:rFonts w:eastAsia="AdvTimes"/>
        </w:rPr>
        <w:t>último,</w:t>
      </w:r>
      <w:r w:rsidR="002F6346" w:rsidRPr="00C42FA8">
        <w:rPr>
          <w:rFonts w:eastAsia="AdvTimes"/>
        </w:rPr>
        <w:t xml:space="preserve"> se adaptó la escala propuesta </w:t>
      </w:r>
      <w:r w:rsidR="002E108A" w:rsidRPr="00C42FA8">
        <w:rPr>
          <w:rFonts w:eastAsia="AdvTimes"/>
        </w:rPr>
        <w:t xml:space="preserve">y validada </w:t>
      </w:r>
      <w:r w:rsidR="001D3352" w:rsidRPr="00C42FA8">
        <w:rPr>
          <w:rFonts w:eastAsia="AdvTimes"/>
        </w:rPr>
        <w:t>por Dagenais-</w:t>
      </w:r>
      <w:r w:rsidR="002F6346" w:rsidRPr="00C42FA8">
        <w:rPr>
          <w:rFonts w:eastAsia="AdvTimes"/>
        </w:rPr>
        <w:t>Desmarais</w:t>
      </w:r>
      <w:r w:rsidR="001D3352" w:rsidRPr="00C42FA8">
        <w:rPr>
          <w:rFonts w:eastAsia="AdvTimes"/>
        </w:rPr>
        <w:t xml:space="preserve"> y Savoie</w:t>
      </w:r>
      <w:r w:rsidR="002F6346" w:rsidRPr="00C42FA8">
        <w:rPr>
          <w:rFonts w:eastAsia="AdvTimes"/>
        </w:rPr>
        <w:t xml:space="preserve"> (2012) para medir el bien</w:t>
      </w:r>
      <w:r w:rsidR="00D44332">
        <w:rPr>
          <w:rFonts w:eastAsia="AdvTimes"/>
        </w:rPr>
        <w:t>estar psicológico en el trabajo; esta</w:t>
      </w:r>
      <w:r w:rsidR="002F6346" w:rsidRPr="00C42FA8">
        <w:rPr>
          <w:rFonts w:eastAsia="AdvTimes"/>
        </w:rPr>
        <w:t xml:space="preserve"> escala </w:t>
      </w:r>
      <w:r w:rsidR="00D44332">
        <w:rPr>
          <w:rFonts w:eastAsia="AdvTimes"/>
        </w:rPr>
        <w:t xml:space="preserve">está </w:t>
      </w:r>
      <w:r w:rsidR="002F6346" w:rsidRPr="00C42FA8">
        <w:rPr>
          <w:rFonts w:eastAsia="AdvTimes"/>
        </w:rPr>
        <w:t xml:space="preserve">compuesta por </w:t>
      </w:r>
      <w:r w:rsidR="002E108A" w:rsidRPr="00C42FA8">
        <w:rPr>
          <w:rFonts w:eastAsia="AdvTimes"/>
        </w:rPr>
        <w:t xml:space="preserve">25 ítems clasificados en </w:t>
      </w:r>
      <w:r w:rsidR="00231912">
        <w:rPr>
          <w:rFonts w:eastAsia="AdvTimes"/>
        </w:rPr>
        <w:t>la</w:t>
      </w:r>
      <w:r w:rsidR="006A11AC">
        <w:rPr>
          <w:rFonts w:eastAsia="AdvTimes"/>
        </w:rPr>
        <w:t>s</w:t>
      </w:r>
      <w:r w:rsidR="00231912">
        <w:rPr>
          <w:rFonts w:eastAsia="AdvTimes"/>
        </w:rPr>
        <w:t xml:space="preserve"> siguientes </w:t>
      </w:r>
      <w:r w:rsidR="002E108A" w:rsidRPr="00C42FA8">
        <w:rPr>
          <w:rFonts w:eastAsia="AdvTimes"/>
        </w:rPr>
        <w:t>5 dimensiones</w:t>
      </w:r>
      <w:r w:rsidR="00231912">
        <w:rPr>
          <w:rFonts w:eastAsia="AdvTimes"/>
        </w:rPr>
        <w:t>:</w:t>
      </w:r>
      <w:r w:rsidR="002E108A" w:rsidRPr="00C42FA8">
        <w:rPr>
          <w:rFonts w:eastAsia="AdvTimes"/>
        </w:rPr>
        <w:t xml:space="preserve"> </w:t>
      </w:r>
      <w:r w:rsidR="00231912">
        <w:rPr>
          <w:rFonts w:eastAsia="AdvTimes"/>
        </w:rPr>
        <w:t>a</w:t>
      </w:r>
      <w:r w:rsidR="002E108A" w:rsidRPr="00C42FA8">
        <w:rPr>
          <w:rFonts w:eastAsia="AdvTimes"/>
        </w:rPr>
        <w:t xml:space="preserve">juste interpersonal en el trabajo, prosperidad laboral, sentimiento de competencia, reconocimiento percibido y deseo de participación en el trabajo, evaluados en </w:t>
      </w:r>
      <w:r w:rsidR="00231912">
        <w:rPr>
          <w:rFonts w:eastAsia="AdvTimes"/>
        </w:rPr>
        <w:t xml:space="preserve">una </w:t>
      </w:r>
      <w:r w:rsidR="002E108A" w:rsidRPr="00C42FA8">
        <w:rPr>
          <w:rFonts w:eastAsia="AdvTimes"/>
        </w:rPr>
        <w:t xml:space="preserve">escala Likert del 1 al 5 </w:t>
      </w:r>
      <w:r w:rsidR="00231912">
        <w:rPr>
          <w:rFonts w:eastAsia="AdvTimes"/>
        </w:rPr>
        <w:t>(</w:t>
      </w:r>
      <w:r w:rsidR="002E108A" w:rsidRPr="00C42FA8">
        <w:rPr>
          <w:rFonts w:eastAsia="AdvTimes"/>
        </w:rPr>
        <w:t xml:space="preserve">donde 1 es </w:t>
      </w:r>
      <w:r w:rsidR="002E108A" w:rsidRPr="00231912">
        <w:rPr>
          <w:rFonts w:eastAsia="AdvTimes"/>
          <w:i/>
        </w:rPr>
        <w:t>totalmente en desacuerdo</w:t>
      </w:r>
      <w:r w:rsidR="00231912">
        <w:rPr>
          <w:rFonts w:eastAsia="AdvTimes"/>
        </w:rPr>
        <w:t xml:space="preserve"> y</w:t>
      </w:r>
      <w:r w:rsidR="002E108A" w:rsidRPr="00C42FA8">
        <w:rPr>
          <w:rFonts w:eastAsia="AdvTimes"/>
        </w:rPr>
        <w:t xml:space="preserve"> 5 </w:t>
      </w:r>
      <w:r w:rsidR="002E108A" w:rsidRPr="00231912">
        <w:rPr>
          <w:rFonts w:eastAsia="AdvTimes"/>
          <w:i/>
        </w:rPr>
        <w:t>totalmente de acuerdo</w:t>
      </w:r>
      <w:r w:rsidR="00231912">
        <w:rPr>
          <w:rFonts w:eastAsia="AdvTimes"/>
        </w:rPr>
        <w:t>)</w:t>
      </w:r>
      <w:r w:rsidR="002E108A" w:rsidRPr="00C42FA8">
        <w:rPr>
          <w:rFonts w:eastAsia="AdvTimes"/>
        </w:rPr>
        <w:t xml:space="preserve">. </w:t>
      </w:r>
    </w:p>
    <w:p w14:paraId="0C53C1B4" w14:textId="1B2A3C0D" w:rsidR="001D3352" w:rsidRDefault="00231912" w:rsidP="00C42FA8">
      <w:pPr>
        <w:autoSpaceDE w:val="0"/>
        <w:autoSpaceDN w:val="0"/>
        <w:adjustRightInd w:val="0"/>
        <w:spacing w:after="0" w:line="360" w:lineRule="auto"/>
        <w:ind w:firstLine="708"/>
        <w:contextualSpacing/>
        <w:jc w:val="both"/>
        <w:rPr>
          <w:rFonts w:eastAsia="AdvTimes"/>
        </w:rPr>
      </w:pPr>
      <w:r>
        <w:rPr>
          <w:rFonts w:eastAsia="AdvTimes"/>
        </w:rPr>
        <w:t xml:space="preserve">Este instrumento fue empleado porque </w:t>
      </w:r>
      <w:r w:rsidR="002E108A" w:rsidRPr="00C42FA8">
        <w:rPr>
          <w:rFonts w:eastAsia="AdvTimes"/>
        </w:rPr>
        <w:t>evalúa el bienestar psicológico únicamente en el ámbito laboral</w:t>
      </w:r>
      <w:r>
        <w:rPr>
          <w:rFonts w:eastAsia="AdvTimes"/>
        </w:rPr>
        <w:t>,</w:t>
      </w:r>
      <w:r w:rsidR="002E108A" w:rsidRPr="00C42FA8">
        <w:rPr>
          <w:rFonts w:eastAsia="AdvTimes"/>
        </w:rPr>
        <w:t xml:space="preserve"> </w:t>
      </w:r>
      <w:r>
        <w:rPr>
          <w:rFonts w:eastAsia="AdvTimes"/>
        </w:rPr>
        <w:t xml:space="preserve">es decir, separa </w:t>
      </w:r>
      <w:r w:rsidR="002E108A" w:rsidRPr="00C42FA8">
        <w:rPr>
          <w:rFonts w:eastAsia="AdvTimes"/>
        </w:rPr>
        <w:t>los otros aspectos de la vida de una persona</w:t>
      </w:r>
      <w:r>
        <w:rPr>
          <w:rFonts w:eastAsia="AdvTimes"/>
        </w:rPr>
        <w:t xml:space="preserve">, con lo cual se puede evitar </w:t>
      </w:r>
      <w:r w:rsidR="002E108A" w:rsidRPr="00C42FA8">
        <w:rPr>
          <w:rFonts w:eastAsia="AdvTimes"/>
        </w:rPr>
        <w:t xml:space="preserve">sesgar los resultados al evaluar positivamente ámbitos de la vida cotidiana </w:t>
      </w:r>
      <w:r>
        <w:rPr>
          <w:rFonts w:eastAsia="AdvTimes"/>
        </w:rPr>
        <w:t>en lugar d</w:t>
      </w:r>
      <w:r w:rsidR="002E108A" w:rsidRPr="00C42FA8">
        <w:rPr>
          <w:rFonts w:eastAsia="AdvTimes"/>
        </w:rPr>
        <w:t>el ámbito laboral.</w:t>
      </w:r>
    </w:p>
    <w:p w14:paraId="043ABD6F" w14:textId="77777777" w:rsidR="00666F95" w:rsidRDefault="00666F95" w:rsidP="00666F95">
      <w:pPr>
        <w:autoSpaceDE w:val="0"/>
        <w:autoSpaceDN w:val="0"/>
        <w:adjustRightInd w:val="0"/>
        <w:spacing w:after="0" w:line="240" w:lineRule="auto"/>
        <w:ind w:firstLine="708"/>
        <w:contextualSpacing/>
        <w:jc w:val="both"/>
        <w:rPr>
          <w:rFonts w:eastAsia="AdvTimes"/>
        </w:rPr>
      </w:pPr>
    </w:p>
    <w:p w14:paraId="5C81F0C9" w14:textId="1022F028" w:rsidR="00231912" w:rsidRDefault="00231912" w:rsidP="00666F95">
      <w:pPr>
        <w:autoSpaceDE w:val="0"/>
        <w:autoSpaceDN w:val="0"/>
        <w:adjustRightInd w:val="0"/>
        <w:spacing w:after="0" w:line="240" w:lineRule="auto"/>
        <w:ind w:firstLine="708"/>
        <w:contextualSpacing/>
        <w:jc w:val="both"/>
        <w:rPr>
          <w:rFonts w:eastAsia="AdvTimes"/>
        </w:rPr>
      </w:pPr>
    </w:p>
    <w:p w14:paraId="2763E202" w14:textId="3DE23866" w:rsidR="00D35C7B" w:rsidRDefault="00D35C7B" w:rsidP="00666F95">
      <w:pPr>
        <w:autoSpaceDE w:val="0"/>
        <w:autoSpaceDN w:val="0"/>
        <w:adjustRightInd w:val="0"/>
        <w:spacing w:after="0" w:line="240" w:lineRule="auto"/>
        <w:ind w:firstLine="708"/>
        <w:contextualSpacing/>
        <w:jc w:val="both"/>
        <w:rPr>
          <w:rFonts w:eastAsia="AdvTimes"/>
        </w:rPr>
      </w:pPr>
    </w:p>
    <w:p w14:paraId="2A9A7A72" w14:textId="035835A5" w:rsidR="00D35C7B" w:rsidRDefault="00D35C7B" w:rsidP="00666F95">
      <w:pPr>
        <w:autoSpaceDE w:val="0"/>
        <w:autoSpaceDN w:val="0"/>
        <w:adjustRightInd w:val="0"/>
        <w:spacing w:after="0" w:line="240" w:lineRule="auto"/>
        <w:ind w:firstLine="708"/>
        <w:contextualSpacing/>
        <w:jc w:val="both"/>
        <w:rPr>
          <w:rFonts w:eastAsia="AdvTimes"/>
        </w:rPr>
      </w:pPr>
    </w:p>
    <w:p w14:paraId="6A0EA054" w14:textId="4E29A8DB" w:rsidR="00D35C7B" w:rsidRDefault="00D35C7B" w:rsidP="00666F95">
      <w:pPr>
        <w:autoSpaceDE w:val="0"/>
        <w:autoSpaceDN w:val="0"/>
        <w:adjustRightInd w:val="0"/>
        <w:spacing w:after="0" w:line="240" w:lineRule="auto"/>
        <w:ind w:firstLine="708"/>
        <w:contextualSpacing/>
        <w:jc w:val="both"/>
        <w:rPr>
          <w:rFonts w:eastAsia="AdvTimes"/>
        </w:rPr>
      </w:pPr>
    </w:p>
    <w:p w14:paraId="2F3FBA71" w14:textId="3AE05592" w:rsidR="00D35C7B" w:rsidRDefault="00D35C7B" w:rsidP="00666F95">
      <w:pPr>
        <w:autoSpaceDE w:val="0"/>
        <w:autoSpaceDN w:val="0"/>
        <w:adjustRightInd w:val="0"/>
        <w:spacing w:after="0" w:line="240" w:lineRule="auto"/>
        <w:ind w:firstLine="708"/>
        <w:contextualSpacing/>
        <w:jc w:val="both"/>
        <w:rPr>
          <w:rFonts w:eastAsia="AdvTimes"/>
        </w:rPr>
      </w:pPr>
    </w:p>
    <w:p w14:paraId="4B3F97AF" w14:textId="61AADFA7" w:rsidR="00D35C7B" w:rsidRDefault="00D35C7B" w:rsidP="00666F95">
      <w:pPr>
        <w:autoSpaceDE w:val="0"/>
        <w:autoSpaceDN w:val="0"/>
        <w:adjustRightInd w:val="0"/>
        <w:spacing w:after="0" w:line="240" w:lineRule="auto"/>
        <w:ind w:firstLine="708"/>
        <w:contextualSpacing/>
        <w:jc w:val="both"/>
        <w:rPr>
          <w:rFonts w:eastAsia="AdvTimes"/>
        </w:rPr>
      </w:pPr>
    </w:p>
    <w:p w14:paraId="7352E3A7" w14:textId="4DF483A4" w:rsidR="00D35C7B" w:rsidRDefault="00D35C7B" w:rsidP="00666F95">
      <w:pPr>
        <w:autoSpaceDE w:val="0"/>
        <w:autoSpaceDN w:val="0"/>
        <w:adjustRightInd w:val="0"/>
        <w:spacing w:after="0" w:line="240" w:lineRule="auto"/>
        <w:ind w:firstLine="708"/>
        <w:contextualSpacing/>
        <w:jc w:val="both"/>
        <w:rPr>
          <w:rFonts w:eastAsia="AdvTimes"/>
        </w:rPr>
      </w:pPr>
    </w:p>
    <w:p w14:paraId="386AFBBA" w14:textId="7B47DD8B" w:rsidR="00D35C7B" w:rsidRDefault="00D35C7B" w:rsidP="00666F95">
      <w:pPr>
        <w:autoSpaceDE w:val="0"/>
        <w:autoSpaceDN w:val="0"/>
        <w:adjustRightInd w:val="0"/>
        <w:spacing w:after="0" w:line="240" w:lineRule="auto"/>
        <w:ind w:firstLine="708"/>
        <w:contextualSpacing/>
        <w:jc w:val="both"/>
        <w:rPr>
          <w:rFonts w:eastAsia="AdvTimes"/>
        </w:rPr>
      </w:pPr>
    </w:p>
    <w:p w14:paraId="0F0B0892" w14:textId="3554923F" w:rsidR="00D35C7B" w:rsidRDefault="00D35C7B" w:rsidP="00666F95">
      <w:pPr>
        <w:autoSpaceDE w:val="0"/>
        <w:autoSpaceDN w:val="0"/>
        <w:adjustRightInd w:val="0"/>
        <w:spacing w:after="0" w:line="240" w:lineRule="auto"/>
        <w:ind w:firstLine="708"/>
        <w:contextualSpacing/>
        <w:jc w:val="both"/>
        <w:rPr>
          <w:rFonts w:eastAsia="AdvTimes"/>
        </w:rPr>
      </w:pPr>
    </w:p>
    <w:p w14:paraId="087B4020" w14:textId="7B57B8CE" w:rsidR="00D35C7B" w:rsidRDefault="00D35C7B" w:rsidP="00666F95">
      <w:pPr>
        <w:autoSpaceDE w:val="0"/>
        <w:autoSpaceDN w:val="0"/>
        <w:adjustRightInd w:val="0"/>
        <w:spacing w:after="0" w:line="240" w:lineRule="auto"/>
        <w:ind w:firstLine="708"/>
        <w:contextualSpacing/>
        <w:jc w:val="both"/>
        <w:rPr>
          <w:rFonts w:eastAsia="AdvTimes"/>
        </w:rPr>
      </w:pPr>
    </w:p>
    <w:p w14:paraId="6F59A4FA" w14:textId="5D1B0B9F" w:rsidR="00D35C7B" w:rsidRDefault="00D35C7B" w:rsidP="00666F95">
      <w:pPr>
        <w:autoSpaceDE w:val="0"/>
        <w:autoSpaceDN w:val="0"/>
        <w:adjustRightInd w:val="0"/>
        <w:spacing w:after="0" w:line="240" w:lineRule="auto"/>
        <w:ind w:firstLine="708"/>
        <w:contextualSpacing/>
        <w:jc w:val="both"/>
        <w:rPr>
          <w:rFonts w:eastAsia="AdvTimes"/>
        </w:rPr>
      </w:pPr>
    </w:p>
    <w:p w14:paraId="7199B5E4" w14:textId="30E3D195" w:rsidR="00D35C7B" w:rsidRDefault="00D35C7B" w:rsidP="00666F95">
      <w:pPr>
        <w:autoSpaceDE w:val="0"/>
        <w:autoSpaceDN w:val="0"/>
        <w:adjustRightInd w:val="0"/>
        <w:spacing w:after="0" w:line="240" w:lineRule="auto"/>
        <w:ind w:firstLine="708"/>
        <w:contextualSpacing/>
        <w:jc w:val="both"/>
        <w:rPr>
          <w:rFonts w:eastAsia="AdvTimes"/>
        </w:rPr>
      </w:pPr>
    </w:p>
    <w:p w14:paraId="2EEC0E62" w14:textId="30F0837E" w:rsidR="00D35C7B" w:rsidRDefault="00D35C7B" w:rsidP="00666F95">
      <w:pPr>
        <w:autoSpaceDE w:val="0"/>
        <w:autoSpaceDN w:val="0"/>
        <w:adjustRightInd w:val="0"/>
        <w:spacing w:after="0" w:line="240" w:lineRule="auto"/>
        <w:ind w:firstLine="708"/>
        <w:contextualSpacing/>
        <w:jc w:val="both"/>
        <w:rPr>
          <w:rFonts w:eastAsia="AdvTimes"/>
        </w:rPr>
      </w:pPr>
    </w:p>
    <w:p w14:paraId="15F153F7" w14:textId="662EE061" w:rsidR="00D35C7B" w:rsidRDefault="00D35C7B" w:rsidP="00666F95">
      <w:pPr>
        <w:autoSpaceDE w:val="0"/>
        <w:autoSpaceDN w:val="0"/>
        <w:adjustRightInd w:val="0"/>
        <w:spacing w:after="0" w:line="240" w:lineRule="auto"/>
        <w:ind w:firstLine="708"/>
        <w:contextualSpacing/>
        <w:jc w:val="both"/>
        <w:rPr>
          <w:rFonts w:eastAsia="AdvTimes"/>
        </w:rPr>
      </w:pPr>
    </w:p>
    <w:p w14:paraId="2F62C52D" w14:textId="77777777" w:rsidR="00D35C7B" w:rsidRPr="00C42FA8" w:rsidRDefault="00D35C7B" w:rsidP="00666F95">
      <w:pPr>
        <w:autoSpaceDE w:val="0"/>
        <w:autoSpaceDN w:val="0"/>
        <w:adjustRightInd w:val="0"/>
        <w:spacing w:after="0" w:line="240" w:lineRule="auto"/>
        <w:ind w:firstLine="708"/>
        <w:contextualSpacing/>
        <w:jc w:val="both"/>
        <w:rPr>
          <w:rFonts w:eastAsia="AdvTimes"/>
        </w:rPr>
      </w:pPr>
    </w:p>
    <w:p w14:paraId="7FFF4853" w14:textId="77777777" w:rsidR="002E108A" w:rsidRPr="002F7B6C" w:rsidRDefault="002E108A" w:rsidP="002F7B6C">
      <w:pPr>
        <w:pStyle w:val="Ttulo1"/>
        <w:jc w:val="center"/>
        <w:rPr>
          <w:rFonts w:eastAsia="Times New Roman"/>
          <w:bCs w:val="0"/>
          <w:color w:val="auto"/>
          <w:lang w:eastAsia="es-MX" w:bidi="es-MX"/>
        </w:rPr>
      </w:pPr>
      <w:r w:rsidRPr="002F7B6C">
        <w:rPr>
          <w:rFonts w:eastAsia="Times New Roman"/>
          <w:bCs w:val="0"/>
          <w:color w:val="auto"/>
          <w:lang w:eastAsia="es-MX" w:bidi="es-MX"/>
        </w:rPr>
        <w:lastRenderedPageBreak/>
        <w:t>Resultados</w:t>
      </w:r>
    </w:p>
    <w:p w14:paraId="7F869B46" w14:textId="77777777" w:rsidR="005140CF" w:rsidRPr="00127606" w:rsidRDefault="005140CF" w:rsidP="00231912">
      <w:pPr>
        <w:keepNext/>
        <w:keepLines/>
        <w:spacing w:before="40" w:after="0" w:line="240" w:lineRule="auto"/>
        <w:contextualSpacing/>
        <w:jc w:val="center"/>
        <w:outlineLvl w:val="4"/>
        <w:rPr>
          <w:rFonts w:eastAsia="Calibri"/>
        </w:rPr>
      </w:pPr>
      <w:r w:rsidRPr="00127606">
        <w:rPr>
          <w:rFonts w:eastAsia="Times New Roman"/>
          <w:b/>
        </w:rPr>
        <w:t>Tabla</w:t>
      </w:r>
      <w:r w:rsidR="002E108A" w:rsidRPr="00127606">
        <w:rPr>
          <w:rFonts w:eastAsia="Times New Roman"/>
          <w:b/>
        </w:rPr>
        <w:t xml:space="preserve"> 1</w:t>
      </w:r>
      <w:r w:rsidRPr="00127606">
        <w:rPr>
          <w:rFonts w:eastAsia="Times New Roman"/>
          <w:b/>
        </w:rPr>
        <w:t>.</w:t>
      </w:r>
      <w:r w:rsidRPr="00127606">
        <w:rPr>
          <w:rFonts w:eastAsia="Times New Roman"/>
        </w:rPr>
        <w:t xml:space="preserve"> </w:t>
      </w:r>
      <w:r w:rsidRPr="00127606">
        <w:rPr>
          <w:rFonts w:eastAsia="Calibri"/>
        </w:rPr>
        <w:t>Cuadro de variables</w:t>
      </w:r>
    </w:p>
    <w:p w14:paraId="69FFC7D6" w14:textId="77777777" w:rsidR="00231912" w:rsidRPr="00231912" w:rsidRDefault="00231912" w:rsidP="00231912">
      <w:pPr>
        <w:keepNext/>
        <w:keepLines/>
        <w:spacing w:before="40" w:after="0" w:line="240" w:lineRule="auto"/>
        <w:contextualSpacing/>
        <w:jc w:val="center"/>
        <w:outlineLvl w:val="4"/>
        <w:rPr>
          <w:rFonts w:eastAsia="Calibri"/>
          <w:sz w:val="22"/>
        </w:rPr>
      </w:pPr>
    </w:p>
    <w:tbl>
      <w:tblPr>
        <w:tblStyle w:val="Tablanormal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07"/>
        <w:gridCol w:w="2239"/>
        <w:gridCol w:w="2143"/>
        <w:gridCol w:w="2239"/>
      </w:tblGrid>
      <w:tr w:rsidR="005140CF" w:rsidRPr="00C42FA8" w14:paraId="4771DD16" w14:textId="77777777" w:rsidTr="00FC66DF">
        <w:trPr>
          <w:cnfStyle w:val="100000000000" w:firstRow="1" w:lastRow="0" w:firstColumn="0" w:lastColumn="0" w:oddVBand="0" w:evenVBand="0" w:oddHBand="0" w:evenHBand="0" w:firstRowFirstColumn="0" w:firstRowLastColumn="0" w:lastRowFirstColumn="0" w:lastRowLastColumn="0"/>
        </w:trPr>
        <w:tc>
          <w:tcPr>
            <w:tcW w:w="2387" w:type="dxa"/>
            <w:tcBorders>
              <w:bottom w:val="none" w:sz="0" w:space="0" w:color="auto"/>
            </w:tcBorders>
          </w:tcPr>
          <w:p w14:paraId="14A23CE1" w14:textId="77777777" w:rsidR="005140CF" w:rsidRPr="00C42FA8" w:rsidRDefault="005140CF" w:rsidP="00F12FAA">
            <w:pPr>
              <w:contextualSpacing/>
              <w:rPr>
                <w:sz w:val="20"/>
                <w:szCs w:val="20"/>
              </w:rPr>
            </w:pPr>
            <w:r w:rsidRPr="00C42FA8">
              <w:rPr>
                <w:rFonts w:eastAsia="Calibri"/>
                <w:sz w:val="20"/>
                <w:szCs w:val="20"/>
                <w:lang w:val="es-ES"/>
              </w:rPr>
              <w:t>Variable</w:t>
            </w:r>
          </w:p>
        </w:tc>
        <w:tc>
          <w:tcPr>
            <w:tcW w:w="2387" w:type="dxa"/>
            <w:tcBorders>
              <w:bottom w:val="none" w:sz="0" w:space="0" w:color="auto"/>
            </w:tcBorders>
          </w:tcPr>
          <w:p w14:paraId="2F0638F0" w14:textId="77777777" w:rsidR="005140CF" w:rsidRPr="00C42FA8" w:rsidRDefault="005140CF" w:rsidP="00F12FAA">
            <w:pPr>
              <w:contextualSpacing/>
              <w:rPr>
                <w:sz w:val="20"/>
                <w:szCs w:val="20"/>
              </w:rPr>
            </w:pPr>
            <w:r w:rsidRPr="00C42FA8">
              <w:rPr>
                <w:sz w:val="20"/>
                <w:szCs w:val="20"/>
              </w:rPr>
              <w:t>Dimensión</w:t>
            </w:r>
          </w:p>
        </w:tc>
        <w:tc>
          <w:tcPr>
            <w:tcW w:w="2387" w:type="dxa"/>
            <w:tcBorders>
              <w:bottom w:val="none" w:sz="0" w:space="0" w:color="auto"/>
            </w:tcBorders>
          </w:tcPr>
          <w:p w14:paraId="1CC327AE" w14:textId="77777777" w:rsidR="005140CF" w:rsidRPr="00C42FA8" w:rsidRDefault="005140CF" w:rsidP="00F12FAA">
            <w:pPr>
              <w:autoSpaceDE w:val="0"/>
              <w:autoSpaceDN w:val="0"/>
              <w:adjustRightInd w:val="0"/>
              <w:spacing w:after="160"/>
              <w:contextualSpacing/>
              <w:rPr>
                <w:rFonts w:eastAsia="Calibri"/>
                <w:bCs w:val="0"/>
                <w:sz w:val="20"/>
                <w:szCs w:val="20"/>
              </w:rPr>
            </w:pPr>
            <w:r w:rsidRPr="00C42FA8">
              <w:rPr>
                <w:rFonts w:eastAsia="Calibri"/>
                <w:sz w:val="20"/>
                <w:szCs w:val="20"/>
              </w:rPr>
              <w:t>N.</w:t>
            </w:r>
            <w:r w:rsidR="00231912">
              <w:rPr>
                <w:rFonts w:eastAsia="Calibri"/>
                <w:sz w:val="20"/>
                <w:szCs w:val="20"/>
              </w:rPr>
              <w:t>°</w:t>
            </w:r>
            <w:r w:rsidRPr="00C42FA8">
              <w:rPr>
                <w:rFonts w:eastAsia="Calibri"/>
                <w:sz w:val="20"/>
                <w:szCs w:val="20"/>
              </w:rPr>
              <w:t xml:space="preserve"> de preguntas en el</w:t>
            </w:r>
          </w:p>
          <w:p w14:paraId="05D6058C" w14:textId="77777777" w:rsidR="005140CF" w:rsidRPr="00C42FA8" w:rsidRDefault="002F7B6C" w:rsidP="00F12FAA">
            <w:pPr>
              <w:contextualSpacing/>
              <w:rPr>
                <w:sz w:val="20"/>
                <w:szCs w:val="20"/>
              </w:rPr>
            </w:pPr>
            <w:r>
              <w:rPr>
                <w:rFonts w:eastAsia="Calibri"/>
                <w:sz w:val="20"/>
                <w:szCs w:val="20"/>
              </w:rPr>
              <w:t>I</w:t>
            </w:r>
            <w:r w:rsidR="005140CF" w:rsidRPr="00C42FA8">
              <w:rPr>
                <w:rFonts w:eastAsia="Calibri"/>
                <w:sz w:val="20"/>
                <w:szCs w:val="20"/>
              </w:rPr>
              <w:t>nstrumento</w:t>
            </w:r>
          </w:p>
        </w:tc>
        <w:tc>
          <w:tcPr>
            <w:tcW w:w="2387" w:type="dxa"/>
            <w:tcBorders>
              <w:bottom w:val="none" w:sz="0" w:space="0" w:color="auto"/>
            </w:tcBorders>
          </w:tcPr>
          <w:p w14:paraId="7E9F7C56" w14:textId="77777777" w:rsidR="005140CF" w:rsidRPr="00C42FA8" w:rsidRDefault="005140CF" w:rsidP="00F12FAA">
            <w:pPr>
              <w:contextualSpacing/>
              <w:rPr>
                <w:sz w:val="20"/>
                <w:szCs w:val="20"/>
              </w:rPr>
            </w:pPr>
            <w:r w:rsidRPr="00C42FA8">
              <w:rPr>
                <w:rFonts w:eastAsia="Calibri"/>
                <w:sz w:val="20"/>
                <w:szCs w:val="20"/>
                <w:lang w:val="es-ES"/>
              </w:rPr>
              <w:t>Tipo de variable</w:t>
            </w:r>
          </w:p>
        </w:tc>
      </w:tr>
      <w:tr w:rsidR="005140CF" w:rsidRPr="00C42FA8" w14:paraId="7F1AD3FB" w14:textId="77777777" w:rsidTr="00FC66DF">
        <w:tc>
          <w:tcPr>
            <w:tcW w:w="2387" w:type="dxa"/>
          </w:tcPr>
          <w:p w14:paraId="763B79EB" w14:textId="77777777" w:rsidR="005140CF" w:rsidRPr="00C42FA8" w:rsidRDefault="005140CF" w:rsidP="00F12FAA">
            <w:pPr>
              <w:contextualSpacing/>
              <w:rPr>
                <w:sz w:val="20"/>
                <w:szCs w:val="20"/>
              </w:rPr>
            </w:pPr>
            <w:r w:rsidRPr="00C42FA8">
              <w:rPr>
                <w:rFonts w:eastAsia="Calibri"/>
                <w:sz w:val="20"/>
                <w:szCs w:val="20"/>
                <w:lang w:val="es-ES"/>
              </w:rPr>
              <w:t>Perfil de los participantes</w:t>
            </w:r>
          </w:p>
        </w:tc>
        <w:tc>
          <w:tcPr>
            <w:tcW w:w="2387" w:type="dxa"/>
          </w:tcPr>
          <w:p w14:paraId="62C11FE9" w14:textId="77777777" w:rsidR="005140CF" w:rsidRPr="00C42FA8" w:rsidRDefault="00BB18CF" w:rsidP="00F12FAA">
            <w:pPr>
              <w:contextualSpacing/>
              <w:rPr>
                <w:sz w:val="20"/>
                <w:szCs w:val="20"/>
              </w:rPr>
            </w:pPr>
            <w:r w:rsidRPr="00C42FA8">
              <w:rPr>
                <w:sz w:val="20"/>
                <w:szCs w:val="20"/>
              </w:rPr>
              <w:t>Variables sociodemográficas</w:t>
            </w:r>
          </w:p>
        </w:tc>
        <w:tc>
          <w:tcPr>
            <w:tcW w:w="2387" w:type="dxa"/>
          </w:tcPr>
          <w:p w14:paraId="25F20B15" w14:textId="77777777" w:rsidR="005140CF" w:rsidRPr="00C42FA8" w:rsidRDefault="00BB18CF" w:rsidP="00F12FAA">
            <w:pPr>
              <w:contextualSpacing/>
              <w:rPr>
                <w:sz w:val="20"/>
                <w:szCs w:val="20"/>
              </w:rPr>
            </w:pPr>
            <w:r w:rsidRPr="00C42FA8">
              <w:rPr>
                <w:sz w:val="20"/>
                <w:szCs w:val="20"/>
              </w:rPr>
              <w:t>p 1 a la p 19</w:t>
            </w:r>
          </w:p>
        </w:tc>
        <w:tc>
          <w:tcPr>
            <w:tcW w:w="2387" w:type="dxa"/>
          </w:tcPr>
          <w:p w14:paraId="519FEB83" w14:textId="77777777" w:rsidR="005140CF" w:rsidRPr="00C42FA8" w:rsidRDefault="00BB18CF" w:rsidP="00F12FAA">
            <w:pPr>
              <w:contextualSpacing/>
              <w:rPr>
                <w:sz w:val="20"/>
                <w:szCs w:val="20"/>
              </w:rPr>
            </w:pPr>
            <w:r w:rsidRPr="00C42FA8">
              <w:rPr>
                <w:sz w:val="20"/>
                <w:szCs w:val="20"/>
              </w:rPr>
              <w:t>Cualitativa/ordinal</w:t>
            </w:r>
          </w:p>
        </w:tc>
      </w:tr>
      <w:tr w:rsidR="005140CF" w:rsidRPr="00C42FA8" w14:paraId="540A7AE3" w14:textId="77777777" w:rsidTr="00FC66DF">
        <w:tc>
          <w:tcPr>
            <w:tcW w:w="2387" w:type="dxa"/>
          </w:tcPr>
          <w:p w14:paraId="43434AC1" w14:textId="77777777" w:rsidR="005140CF" w:rsidRPr="00C42FA8" w:rsidRDefault="005140CF" w:rsidP="00F12FAA">
            <w:pPr>
              <w:contextualSpacing/>
              <w:rPr>
                <w:rFonts w:eastAsia="Calibri"/>
                <w:sz w:val="20"/>
                <w:szCs w:val="20"/>
                <w:lang w:val="es-ES"/>
              </w:rPr>
            </w:pPr>
            <w:r w:rsidRPr="00C42FA8">
              <w:rPr>
                <w:color w:val="26282A"/>
                <w:sz w:val="20"/>
                <w:szCs w:val="20"/>
                <w:shd w:val="clear" w:color="auto" w:fill="FFFFFF"/>
              </w:rPr>
              <w:t>Liderazgo transformacional</w:t>
            </w:r>
          </w:p>
        </w:tc>
        <w:tc>
          <w:tcPr>
            <w:tcW w:w="2387" w:type="dxa"/>
          </w:tcPr>
          <w:p w14:paraId="0797B0A6" w14:textId="77777777" w:rsidR="005140CF" w:rsidRPr="00C42FA8" w:rsidRDefault="00BB18CF" w:rsidP="00F12FAA">
            <w:pPr>
              <w:contextualSpacing/>
              <w:rPr>
                <w:sz w:val="20"/>
                <w:szCs w:val="20"/>
              </w:rPr>
            </w:pPr>
            <w:r w:rsidRPr="00C42FA8">
              <w:rPr>
                <w:sz w:val="20"/>
                <w:szCs w:val="20"/>
              </w:rPr>
              <w:t>5 ítems</w:t>
            </w:r>
          </w:p>
        </w:tc>
        <w:tc>
          <w:tcPr>
            <w:tcW w:w="2387" w:type="dxa"/>
          </w:tcPr>
          <w:p w14:paraId="61607E4F" w14:textId="77777777" w:rsidR="005140CF" w:rsidRPr="00C42FA8" w:rsidRDefault="005140CF" w:rsidP="00F12FAA">
            <w:pPr>
              <w:contextualSpacing/>
              <w:rPr>
                <w:sz w:val="20"/>
                <w:szCs w:val="20"/>
              </w:rPr>
            </w:pPr>
            <w:r w:rsidRPr="00C42FA8">
              <w:rPr>
                <w:color w:val="26282A"/>
                <w:sz w:val="20"/>
                <w:szCs w:val="20"/>
                <w:shd w:val="clear" w:color="auto" w:fill="FFFFFF"/>
              </w:rPr>
              <w:t>p20 a la p24</w:t>
            </w:r>
          </w:p>
        </w:tc>
        <w:tc>
          <w:tcPr>
            <w:tcW w:w="2387" w:type="dxa"/>
          </w:tcPr>
          <w:p w14:paraId="4DDA8AC5" w14:textId="77777777" w:rsidR="005140CF" w:rsidRPr="00C42FA8" w:rsidRDefault="005140CF" w:rsidP="00F12FAA">
            <w:pPr>
              <w:contextualSpacing/>
              <w:rPr>
                <w:rFonts w:eastAsia="Calibri"/>
                <w:sz w:val="20"/>
                <w:szCs w:val="20"/>
                <w:lang w:val="es-ES"/>
              </w:rPr>
            </w:pPr>
            <w:r w:rsidRPr="00C42FA8">
              <w:rPr>
                <w:rFonts w:eastAsia="Calibri"/>
                <w:sz w:val="20"/>
                <w:szCs w:val="20"/>
                <w:lang w:val="es-ES"/>
              </w:rPr>
              <w:t>Cualitativa/ordinal</w:t>
            </w:r>
          </w:p>
        </w:tc>
      </w:tr>
      <w:tr w:rsidR="005140CF" w:rsidRPr="00C42FA8" w14:paraId="240D656D" w14:textId="77777777" w:rsidTr="00FC66DF">
        <w:tc>
          <w:tcPr>
            <w:tcW w:w="2387" w:type="dxa"/>
          </w:tcPr>
          <w:p w14:paraId="31192FB5" w14:textId="77777777" w:rsidR="005140CF" w:rsidRPr="00C42FA8" w:rsidRDefault="005140CF" w:rsidP="00F12FAA">
            <w:pPr>
              <w:contextualSpacing/>
              <w:rPr>
                <w:color w:val="26282A"/>
                <w:sz w:val="20"/>
                <w:szCs w:val="20"/>
                <w:shd w:val="clear" w:color="auto" w:fill="FFFFFF"/>
              </w:rPr>
            </w:pPr>
            <w:r w:rsidRPr="00C42FA8">
              <w:rPr>
                <w:color w:val="26282A"/>
                <w:sz w:val="20"/>
                <w:szCs w:val="20"/>
                <w:shd w:val="clear" w:color="auto" w:fill="FFFFFF"/>
              </w:rPr>
              <w:t>Confianza en el líder</w:t>
            </w:r>
          </w:p>
        </w:tc>
        <w:tc>
          <w:tcPr>
            <w:tcW w:w="2387" w:type="dxa"/>
          </w:tcPr>
          <w:p w14:paraId="2E47F30B" w14:textId="77777777" w:rsidR="005140CF" w:rsidRPr="00C42FA8" w:rsidRDefault="00BB18CF" w:rsidP="00F12FAA">
            <w:pPr>
              <w:contextualSpacing/>
              <w:rPr>
                <w:sz w:val="20"/>
                <w:szCs w:val="20"/>
              </w:rPr>
            </w:pPr>
            <w:r w:rsidRPr="00C42FA8">
              <w:rPr>
                <w:sz w:val="20"/>
                <w:szCs w:val="20"/>
              </w:rPr>
              <w:t>5 ítems</w:t>
            </w:r>
          </w:p>
        </w:tc>
        <w:tc>
          <w:tcPr>
            <w:tcW w:w="2387" w:type="dxa"/>
          </w:tcPr>
          <w:p w14:paraId="1943C0FE" w14:textId="77777777" w:rsidR="005140CF" w:rsidRPr="00C42FA8" w:rsidRDefault="005140CF" w:rsidP="00F12FAA">
            <w:pPr>
              <w:contextualSpacing/>
              <w:rPr>
                <w:sz w:val="20"/>
                <w:szCs w:val="20"/>
              </w:rPr>
            </w:pPr>
            <w:r w:rsidRPr="00C42FA8">
              <w:rPr>
                <w:color w:val="26282A"/>
                <w:sz w:val="20"/>
                <w:szCs w:val="20"/>
                <w:shd w:val="clear" w:color="auto" w:fill="FFFFFF"/>
              </w:rPr>
              <w:t>p25 a la p30</w:t>
            </w:r>
          </w:p>
        </w:tc>
        <w:tc>
          <w:tcPr>
            <w:tcW w:w="2387" w:type="dxa"/>
          </w:tcPr>
          <w:p w14:paraId="574F9B80" w14:textId="77777777" w:rsidR="005140CF" w:rsidRPr="00C42FA8" w:rsidRDefault="005140CF" w:rsidP="00F12FAA">
            <w:pPr>
              <w:contextualSpacing/>
              <w:rPr>
                <w:rFonts w:eastAsia="Calibri"/>
                <w:sz w:val="20"/>
                <w:szCs w:val="20"/>
                <w:lang w:val="es-ES"/>
              </w:rPr>
            </w:pPr>
            <w:r w:rsidRPr="00C42FA8">
              <w:rPr>
                <w:rFonts w:eastAsia="Calibri"/>
                <w:sz w:val="20"/>
                <w:szCs w:val="20"/>
                <w:lang w:val="es-ES"/>
              </w:rPr>
              <w:t>Cualitativa/ordinal</w:t>
            </w:r>
          </w:p>
        </w:tc>
      </w:tr>
      <w:tr w:rsidR="005140CF" w:rsidRPr="00C42FA8" w14:paraId="154597FB" w14:textId="77777777" w:rsidTr="00FC66DF">
        <w:tc>
          <w:tcPr>
            <w:tcW w:w="2387" w:type="dxa"/>
            <w:vMerge w:val="restart"/>
          </w:tcPr>
          <w:p w14:paraId="30F8DDF7" w14:textId="77777777" w:rsidR="005140CF" w:rsidRPr="00C42FA8" w:rsidRDefault="005140CF" w:rsidP="00F12FAA">
            <w:pPr>
              <w:contextualSpacing/>
              <w:rPr>
                <w:color w:val="26282A"/>
                <w:sz w:val="20"/>
                <w:szCs w:val="20"/>
                <w:shd w:val="clear" w:color="auto" w:fill="FFFFFF"/>
              </w:rPr>
            </w:pPr>
            <w:r w:rsidRPr="00C42FA8">
              <w:rPr>
                <w:rFonts w:eastAsia="Times New Roman"/>
                <w:color w:val="26282A"/>
                <w:sz w:val="20"/>
                <w:szCs w:val="20"/>
                <w:lang w:eastAsia="es-MX"/>
              </w:rPr>
              <w:t>Bienestar psicológico en el trabajo</w:t>
            </w:r>
          </w:p>
          <w:p w14:paraId="56681EA0" w14:textId="77777777" w:rsidR="005140CF" w:rsidRPr="00C42FA8" w:rsidRDefault="005140CF" w:rsidP="00F12FAA">
            <w:pPr>
              <w:contextualSpacing/>
              <w:rPr>
                <w:rFonts w:eastAsia="Times New Roman"/>
                <w:color w:val="26282A"/>
                <w:sz w:val="20"/>
                <w:szCs w:val="20"/>
                <w:lang w:eastAsia="es-MX"/>
              </w:rPr>
            </w:pPr>
          </w:p>
          <w:p w14:paraId="736BCE6B" w14:textId="77777777" w:rsidR="005140CF" w:rsidRPr="00C42FA8" w:rsidRDefault="005140CF" w:rsidP="00F12FAA">
            <w:pPr>
              <w:contextualSpacing/>
              <w:rPr>
                <w:color w:val="26282A"/>
                <w:sz w:val="20"/>
                <w:szCs w:val="20"/>
                <w:shd w:val="clear" w:color="auto" w:fill="FFFFFF"/>
              </w:rPr>
            </w:pPr>
          </w:p>
        </w:tc>
        <w:tc>
          <w:tcPr>
            <w:tcW w:w="2387" w:type="dxa"/>
          </w:tcPr>
          <w:p w14:paraId="09DAC71A" w14:textId="77777777" w:rsidR="005140CF" w:rsidRPr="00C42FA8" w:rsidRDefault="005140CF" w:rsidP="00F12FAA">
            <w:pPr>
              <w:contextualSpacing/>
              <w:rPr>
                <w:sz w:val="20"/>
                <w:szCs w:val="20"/>
              </w:rPr>
            </w:pPr>
            <w:r w:rsidRPr="00C42FA8">
              <w:rPr>
                <w:rFonts w:eastAsia="Times New Roman"/>
                <w:color w:val="26282A"/>
                <w:sz w:val="20"/>
                <w:szCs w:val="20"/>
                <w:lang w:eastAsia="es-MX"/>
              </w:rPr>
              <w:t>Ajuste interpersonal</w:t>
            </w:r>
          </w:p>
        </w:tc>
        <w:tc>
          <w:tcPr>
            <w:tcW w:w="2387" w:type="dxa"/>
          </w:tcPr>
          <w:p w14:paraId="2914D709" w14:textId="77777777" w:rsidR="005140CF" w:rsidRPr="00C42FA8" w:rsidRDefault="005140CF" w:rsidP="00F12FAA">
            <w:pPr>
              <w:contextualSpacing/>
              <w:rPr>
                <w:sz w:val="20"/>
                <w:szCs w:val="20"/>
              </w:rPr>
            </w:pPr>
            <w:r w:rsidRPr="00C42FA8">
              <w:rPr>
                <w:rFonts w:eastAsia="Times New Roman"/>
                <w:color w:val="26282A"/>
                <w:sz w:val="20"/>
                <w:szCs w:val="20"/>
                <w:lang w:eastAsia="es-MX"/>
              </w:rPr>
              <w:t>a18, a23, a28, a33, a38</w:t>
            </w:r>
          </w:p>
        </w:tc>
        <w:tc>
          <w:tcPr>
            <w:tcW w:w="2387" w:type="dxa"/>
          </w:tcPr>
          <w:p w14:paraId="1F8A3CA7" w14:textId="77777777" w:rsidR="005140CF" w:rsidRPr="00C42FA8" w:rsidRDefault="005140CF" w:rsidP="00F12FAA">
            <w:pPr>
              <w:contextualSpacing/>
              <w:rPr>
                <w:rFonts w:eastAsia="Calibri"/>
                <w:sz w:val="20"/>
                <w:szCs w:val="20"/>
                <w:lang w:val="es-ES"/>
              </w:rPr>
            </w:pPr>
            <w:r w:rsidRPr="00C42FA8">
              <w:rPr>
                <w:rFonts w:eastAsia="Calibri"/>
                <w:sz w:val="20"/>
                <w:szCs w:val="20"/>
                <w:lang w:val="es-ES"/>
              </w:rPr>
              <w:t>Cualitativa/ordinal</w:t>
            </w:r>
          </w:p>
        </w:tc>
      </w:tr>
      <w:tr w:rsidR="005140CF" w:rsidRPr="00C42FA8" w14:paraId="7E748510" w14:textId="77777777" w:rsidTr="00FC66DF">
        <w:tc>
          <w:tcPr>
            <w:tcW w:w="2387" w:type="dxa"/>
            <w:vMerge/>
          </w:tcPr>
          <w:p w14:paraId="29E42C56" w14:textId="77777777" w:rsidR="005140CF" w:rsidRPr="00C42FA8" w:rsidRDefault="005140CF" w:rsidP="00F12FAA">
            <w:pPr>
              <w:contextualSpacing/>
              <w:rPr>
                <w:rFonts w:eastAsia="Times New Roman"/>
                <w:color w:val="26282A"/>
                <w:sz w:val="20"/>
                <w:szCs w:val="20"/>
                <w:lang w:eastAsia="es-MX"/>
              </w:rPr>
            </w:pPr>
          </w:p>
        </w:tc>
        <w:tc>
          <w:tcPr>
            <w:tcW w:w="2387" w:type="dxa"/>
          </w:tcPr>
          <w:p w14:paraId="3185A2E7" w14:textId="77777777" w:rsidR="005140CF" w:rsidRPr="00C42FA8" w:rsidRDefault="005140CF" w:rsidP="00F12FAA">
            <w:pPr>
              <w:contextualSpacing/>
              <w:rPr>
                <w:sz w:val="20"/>
                <w:szCs w:val="20"/>
              </w:rPr>
            </w:pPr>
            <w:r w:rsidRPr="00C42FA8">
              <w:rPr>
                <w:rFonts w:eastAsia="Times New Roman"/>
                <w:color w:val="26282A"/>
                <w:sz w:val="20"/>
                <w:szCs w:val="20"/>
                <w:lang w:eastAsia="es-MX"/>
              </w:rPr>
              <w:t>Prosperidad laboral</w:t>
            </w:r>
          </w:p>
        </w:tc>
        <w:tc>
          <w:tcPr>
            <w:tcW w:w="2387" w:type="dxa"/>
          </w:tcPr>
          <w:p w14:paraId="6EC75294" w14:textId="77777777" w:rsidR="005140CF" w:rsidRPr="00C42FA8" w:rsidRDefault="005140CF" w:rsidP="00F12FAA">
            <w:pPr>
              <w:contextualSpacing/>
              <w:rPr>
                <w:sz w:val="20"/>
                <w:szCs w:val="20"/>
              </w:rPr>
            </w:pPr>
            <w:r w:rsidRPr="00C42FA8">
              <w:rPr>
                <w:rFonts w:eastAsia="Times New Roman"/>
                <w:color w:val="26282A"/>
                <w:sz w:val="20"/>
                <w:szCs w:val="20"/>
                <w:lang w:eastAsia="es-MX"/>
              </w:rPr>
              <w:t>a19, a24, a29, a34, a39</w:t>
            </w:r>
          </w:p>
        </w:tc>
        <w:tc>
          <w:tcPr>
            <w:tcW w:w="2387" w:type="dxa"/>
          </w:tcPr>
          <w:p w14:paraId="6FB7EFB9" w14:textId="77777777" w:rsidR="005140CF" w:rsidRPr="00C42FA8" w:rsidRDefault="005140CF" w:rsidP="00F12FAA">
            <w:pPr>
              <w:contextualSpacing/>
              <w:rPr>
                <w:rFonts w:eastAsia="Calibri"/>
                <w:sz w:val="20"/>
                <w:szCs w:val="20"/>
                <w:lang w:val="es-ES"/>
              </w:rPr>
            </w:pPr>
            <w:r w:rsidRPr="00C42FA8">
              <w:rPr>
                <w:rFonts w:eastAsia="Calibri"/>
                <w:sz w:val="20"/>
                <w:szCs w:val="20"/>
                <w:lang w:val="es-ES"/>
              </w:rPr>
              <w:t>Cualitativa/ordinal</w:t>
            </w:r>
          </w:p>
        </w:tc>
      </w:tr>
      <w:tr w:rsidR="005140CF" w:rsidRPr="00C42FA8" w14:paraId="718498F3" w14:textId="77777777" w:rsidTr="00FC66DF">
        <w:tc>
          <w:tcPr>
            <w:tcW w:w="2387" w:type="dxa"/>
            <w:vMerge/>
          </w:tcPr>
          <w:p w14:paraId="5721B690" w14:textId="77777777" w:rsidR="005140CF" w:rsidRPr="00C42FA8" w:rsidRDefault="005140CF" w:rsidP="00F12FAA">
            <w:pPr>
              <w:contextualSpacing/>
              <w:rPr>
                <w:rFonts w:eastAsia="Times New Roman"/>
                <w:color w:val="26282A"/>
                <w:sz w:val="20"/>
                <w:szCs w:val="20"/>
                <w:lang w:eastAsia="es-MX"/>
              </w:rPr>
            </w:pPr>
          </w:p>
        </w:tc>
        <w:tc>
          <w:tcPr>
            <w:tcW w:w="2387" w:type="dxa"/>
          </w:tcPr>
          <w:p w14:paraId="4365A6FA" w14:textId="77777777" w:rsidR="005140CF" w:rsidRPr="00C42FA8" w:rsidRDefault="005140CF" w:rsidP="00F12FAA">
            <w:pPr>
              <w:contextualSpacing/>
              <w:rPr>
                <w:sz w:val="20"/>
                <w:szCs w:val="20"/>
              </w:rPr>
            </w:pPr>
            <w:r w:rsidRPr="00C42FA8">
              <w:rPr>
                <w:rFonts w:eastAsia="Times New Roman"/>
                <w:color w:val="26282A"/>
                <w:sz w:val="20"/>
                <w:szCs w:val="20"/>
                <w:lang w:eastAsia="es-MX"/>
              </w:rPr>
              <w:t>Sentimiento de competencia en el trabajo</w:t>
            </w:r>
          </w:p>
        </w:tc>
        <w:tc>
          <w:tcPr>
            <w:tcW w:w="2387" w:type="dxa"/>
          </w:tcPr>
          <w:p w14:paraId="2DC3978B" w14:textId="77777777" w:rsidR="005140CF" w:rsidRPr="00C42FA8" w:rsidRDefault="005140CF" w:rsidP="00F12FAA">
            <w:pPr>
              <w:contextualSpacing/>
              <w:rPr>
                <w:sz w:val="20"/>
                <w:szCs w:val="20"/>
              </w:rPr>
            </w:pPr>
            <w:r w:rsidRPr="00C42FA8">
              <w:rPr>
                <w:rFonts w:eastAsia="Times New Roman"/>
                <w:color w:val="26282A"/>
                <w:sz w:val="20"/>
                <w:szCs w:val="20"/>
                <w:lang w:eastAsia="es-MX"/>
              </w:rPr>
              <w:t>a20, a25, a30, a35, a40</w:t>
            </w:r>
          </w:p>
        </w:tc>
        <w:tc>
          <w:tcPr>
            <w:tcW w:w="2387" w:type="dxa"/>
          </w:tcPr>
          <w:p w14:paraId="4399775A" w14:textId="77777777" w:rsidR="005140CF" w:rsidRPr="00C42FA8" w:rsidRDefault="005140CF" w:rsidP="00F12FAA">
            <w:pPr>
              <w:contextualSpacing/>
              <w:rPr>
                <w:rFonts w:eastAsia="Calibri"/>
                <w:sz w:val="20"/>
                <w:szCs w:val="20"/>
                <w:lang w:val="es-ES"/>
              </w:rPr>
            </w:pPr>
            <w:r w:rsidRPr="00C42FA8">
              <w:rPr>
                <w:rFonts w:eastAsia="Calibri"/>
                <w:sz w:val="20"/>
                <w:szCs w:val="20"/>
                <w:lang w:val="es-ES"/>
              </w:rPr>
              <w:t>Cualitativa/ordinal</w:t>
            </w:r>
          </w:p>
        </w:tc>
      </w:tr>
      <w:tr w:rsidR="005140CF" w:rsidRPr="00C42FA8" w14:paraId="06ED7CC8" w14:textId="77777777" w:rsidTr="00FC66DF">
        <w:tc>
          <w:tcPr>
            <w:tcW w:w="2387" w:type="dxa"/>
            <w:vMerge/>
          </w:tcPr>
          <w:p w14:paraId="06EC99A4" w14:textId="77777777" w:rsidR="005140CF" w:rsidRPr="00C42FA8" w:rsidRDefault="005140CF" w:rsidP="00F12FAA">
            <w:pPr>
              <w:contextualSpacing/>
              <w:rPr>
                <w:rFonts w:eastAsia="Times New Roman"/>
                <w:color w:val="26282A"/>
                <w:sz w:val="20"/>
                <w:szCs w:val="20"/>
                <w:lang w:eastAsia="es-MX"/>
              </w:rPr>
            </w:pPr>
          </w:p>
        </w:tc>
        <w:tc>
          <w:tcPr>
            <w:tcW w:w="2387" w:type="dxa"/>
          </w:tcPr>
          <w:p w14:paraId="3DCEE9B1" w14:textId="77777777" w:rsidR="005140CF" w:rsidRPr="00C42FA8" w:rsidRDefault="005140CF" w:rsidP="00F12FAA">
            <w:pPr>
              <w:contextualSpacing/>
              <w:rPr>
                <w:sz w:val="20"/>
                <w:szCs w:val="20"/>
              </w:rPr>
            </w:pPr>
            <w:r w:rsidRPr="00C42FA8">
              <w:rPr>
                <w:rFonts w:eastAsia="Times New Roman"/>
                <w:color w:val="26282A"/>
                <w:sz w:val="20"/>
                <w:szCs w:val="20"/>
                <w:lang w:eastAsia="es-MX"/>
              </w:rPr>
              <w:t>Reconocimiento percibido en el trabajo</w:t>
            </w:r>
          </w:p>
        </w:tc>
        <w:tc>
          <w:tcPr>
            <w:tcW w:w="2387" w:type="dxa"/>
          </w:tcPr>
          <w:p w14:paraId="45E7FF38" w14:textId="77777777" w:rsidR="005140CF" w:rsidRPr="00C42FA8" w:rsidRDefault="005140CF" w:rsidP="00F12FAA">
            <w:pPr>
              <w:contextualSpacing/>
              <w:rPr>
                <w:sz w:val="20"/>
                <w:szCs w:val="20"/>
              </w:rPr>
            </w:pPr>
            <w:r w:rsidRPr="00C42FA8">
              <w:rPr>
                <w:rFonts w:eastAsia="Times New Roman"/>
                <w:color w:val="26282A"/>
                <w:sz w:val="20"/>
                <w:szCs w:val="20"/>
                <w:lang w:eastAsia="es-MX"/>
              </w:rPr>
              <w:t>a21, a26, a31, a36, a41</w:t>
            </w:r>
          </w:p>
        </w:tc>
        <w:tc>
          <w:tcPr>
            <w:tcW w:w="2387" w:type="dxa"/>
          </w:tcPr>
          <w:p w14:paraId="7036F1F7" w14:textId="77777777" w:rsidR="005140CF" w:rsidRPr="00C42FA8" w:rsidRDefault="005140CF" w:rsidP="00F12FAA">
            <w:pPr>
              <w:contextualSpacing/>
              <w:rPr>
                <w:rFonts w:eastAsia="Calibri"/>
                <w:sz w:val="20"/>
                <w:szCs w:val="20"/>
                <w:lang w:val="es-ES"/>
              </w:rPr>
            </w:pPr>
            <w:r w:rsidRPr="00C42FA8">
              <w:rPr>
                <w:rFonts w:eastAsia="Calibri"/>
                <w:sz w:val="20"/>
                <w:szCs w:val="20"/>
                <w:lang w:val="es-ES"/>
              </w:rPr>
              <w:t>Cualitativa/ordinal</w:t>
            </w:r>
          </w:p>
        </w:tc>
      </w:tr>
      <w:tr w:rsidR="005140CF" w:rsidRPr="00C42FA8" w14:paraId="68FA072B" w14:textId="77777777" w:rsidTr="00FC66DF">
        <w:tc>
          <w:tcPr>
            <w:tcW w:w="2387" w:type="dxa"/>
            <w:vMerge/>
          </w:tcPr>
          <w:p w14:paraId="5FD8B56F" w14:textId="77777777" w:rsidR="005140CF" w:rsidRPr="00C42FA8" w:rsidRDefault="005140CF" w:rsidP="00F12FAA">
            <w:pPr>
              <w:contextualSpacing/>
              <w:rPr>
                <w:rFonts w:eastAsia="Times New Roman"/>
                <w:color w:val="26282A"/>
                <w:sz w:val="20"/>
                <w:szCs w:val="20"/>
                <w:lang w:eastAsia="es-MX"/>
              </w:rPr>
            </w:pPr>
          </w:p>
        </w:tc>
        <w:tc>
          <w:tcPr>
            <w:tcW w:w="2387" w:type="dxa"/>
          </w:tcPr>
          <w:p w14:paraId="17B546AF" w14:textId="77777777" w:rsidR="005140CF" w:rsidRPr="00C42FA8" w:rsidRDefault="005140CF" w:rsidP="00F12FAA">
            <w:pPr>
              <w:contextualSpacing/>
              <w:rPr>
                <w:rFonts w:eastAsia="Times New Roman"/>
                <w:color w:val="26282A"/>
                <w:sz w:val="20"/>
                <w:szCs w:val="20"/>
                <w:lang w:eastAsia="es-MX"/>
              </w:rPr>
            </w:pPr>
            <w:r w:rsidRPr="00C42FA8">
              <w:rPr>
                <w:rFonts w:eastAsia="Times New Roman"/>
                <w:color w:val="26282A"/>
                <w:sz w:val="20"/>
                <w:szCs w:val="20"/>
                <w:lang w:eastAsia="es-MX"/>
              </w:rPr>
              <w:t>Deseo de participación en el trabajo</w:t>
            </w:r>
          </w:p>
        </w:tc>
        <w:tc>
          <w:tcPr>
            <w:tcW w:w="2387" w:type="dxa"/>
          </w:tcPr>
          <w:p w14:paraId="20655582" w14:textId="77777777" w:rsidR="005140CF" w:rsidRPr="00C42FA8" w:rsidRDefault="005140CF" w:rsidP="00F12FAA">
            <w:pPr>
              <w:contextualSpacing/>
              <w:rPr>
                <w:sz w:val="20"/>
                <w:szCs w:val="20"/>
              </w:rPr>
            </w:pPr>
            <w:r w:rsidRPr="00C42FA8">
              <w:rPr>
                <w:rFonts w:eastAsia="Times New Roman"/>
                <w:color w:val="26282A"/>
                <w:sz w:val="20"/>
                <w:szCs w:val="20"/>
                <w:lang w:eastAsia="es-MX"/>
              </w:rPr>
              <w:t>a22, a27, a32, a37, a42</w:t>
            </w:r>
          </w:p>
        </w:tc>
        <w:tc>
          <w:tcPr>
            <w:tcW w:w="2387" w:type="dxa"/>
          </w:tcPr>
          <w:p w14:paraId="6A8E1CF6" w14:textId="77777777" w:rsidR="005140CF" w:rsidRPr="00C42FA8" w:rsidRDefault="005140CF" w:rsidP="00F12FAA">
            <w:pPr>
              <w:contextualSpacing/>
              <w:rPr>
                <w:rFonts w:eastAsia="Calibri"/>
                <w:sz w:val="20"/>
                <w:szCs w:val="20"/>
                <w:lang w:val="es-ES"/>
              </w:rPr>
            </w:pPr>
            <w:r w:rsidRPr="00C42FA8">
              <w:rPr>
                <w:rFonts w:eastAsia="Calibri"/>
                <w:sz w:val="20"/>
                <w:szCs w:val="20"/>
                <w:lang w:val="es-ES"/>
              </w:rPr>
              <w:t>Cualitativa/ordinal</w:t>
            </w:r>
          </w:p>
        </w:tc>
      </w:tr>
    </w:tbl>
    <w:p w14:paraId="5AF1FBD9" w14:textId="77777777" w:rsidR="005140CF" w:rsidRPr="00127606" w:rsidRDefault="00C42FA8" w:rsidP="00C43B02">
      <w:pPr>
        <w:autoSpaceDE w:val="0"/>
        <w:autoSpaceDN w:val="0"/>
        <w:adjustRightInd w:val="0"/>
        <w:spacing w:after="0" w:line="360" w:lineRule="auto"/>
        <w:contextualSpacing/>
        <w:jc w:val="center"/>
        <w:rPr>
          <w:szCs w:val="20"/>
        </w:rPr>
      </w:pPr>
      <w:r w:rsidRPr="00127606">
        <w:rPr>
          <w:szCs w:val="20"/>
        </w:rPr>
        <w:t>Fuente</w:t>
      </w:r>
      <w:r w:rsidR="00C43B02" w:rsidRPr="00127606">
        <w:rPr>
          <w:szCs w:val="20"/>
        </w:rPr>
        <w:t>:</w:t>
      </w:r>
      <w:r w:rsidRPr="00127606">
        <w:rPr>
          <w:szCs w:val="20"/>
        </w:rPr>
        <w:t xml:space="preserve"> Elaboración propia</w:t>
      </w:r>
      <w:r w:rsidR="00C43B02" w:rsidRPr="00127606">
        <w:rPr>
          <w:szCs w:val="20"/>
        </w:rPr>
        <w:t xml:space="preserve"> </w:t>
      </w:r>
    </w:p>
    <w:p w14:paraId="10579E02" w14:textId="77777777" w:rsidR="00C43B02" w:rsidRDefault="00C43B02" w:rsidP="005140CF">
      <w:pPr>
        <w:autoSpaceDE w:val="0"/>
        <w:autoSpaceDN w:val="0"/>
        <w:adjustRightInd w:val="0"/>
        <w:spacing w:after="0" w:line="360" w:lineRule="auto"/>
        <w:contextualSpacing/>
        <w:jc w:val="both"/>
      </w:pPr>
    </w:p>
    <w:p w14:paraId="0C5574F7" w14:textId="4E319CC3" w:rsidR="001D3352" w:rsidRDefault="005140CF" w:rsidP="00C43B02">
      <w:pPr>
        <w:autoSpaceDE w:val="0"/>
        <w:autoSpaceDN w:val="0"/>
        <w:adjustRightInd w:val="0"/>
        <w:spacing w:after="0" w:line="360" w:lineRule="auto"/>
        <w:ind w:firstLine="708"/>
        <w:contextualSpacing/>
        <w:jc w:val="both"/>
      </w:pPr>
      <w:r w:rsidRPr="00C42FA8">
        <w:t>Se hicieron análisis descriptivos y se calcularon las medias de cada variable</w:t>
      </w:r>
      <w:r w:rsidR="003C0177">
        <w:t>, se presentan en la Tabla 2</w:t>
      </w:r>
      <w:r w:rsidR="00C43B02">
        <w:t>;</w:t>
      </w:r>
      <w:r w:rsidRPr="00C42FA8">
        <w:t xml:space="preserve"> también se evaluaron las correlaciones bivariadas entre las variables de estudio.</w:t>
      </w:r>
    </w:p>
    <w:p w14:paraId="401AF94B" w14:textId="77777777" w:rsidR="0073794F" w:rsidRDefault="0073794F" w:rsidP="00C43B02">
      <w:pPr>
        <w:autoSpaceDE w:val="0"/>
        <w:autoSpaceDN w:val="0"/>
        <w:adjustRightInd w:val="0"/>
        <w:spacing w:after="0" w:line="360" w:lineRule="auto"/>
        <w:ind w:firstLine="708"/>
        <w:contextualSpacing/>
        <w:jc w:val="both"/>
      </w:pPr>
    </w:p>
    <w:p w14:paraId="4574F116" w14:textId="2F581A1C" w:rsidR="00C43B02" w:rsidRPr="00C42FA8" w:rsidRDefault="000167B2" w:rsidP="00D35C7B">
      <w:pPr>
        <w:autoSpaceDE w:val="0"/>
        <w:autoSpaceDN w:val="0"/>
        <w:adjustRightInd w:val="0"/>
        <w:spacing w:after="0" w:line="360" w:lineRule="auto"/>
        <w:contextualSpacing/>
        <w:jc w:val="center"/>
      </w:pPr>
      <w:r w:rsidRPr="000167B2">
        <w:rPr>
          <w:b/>
        </w:rPr>
        <w:t>Tabla 2.</w:t>
      </w:r>
      <w:r>
        <w:t xml:space="preserve"> Estadísticos</w:t>
      </w:r>
    </w:p>
    <w:tbl>
      <w:tblPr>
        <w:tblStyle w:val="Tablanormal21"/>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221"/>
        <w:gridCol w:w="2176"/>
        <w:gridCol w:w="1735"/>
        <w:gridCol w:w="1746"/>
      </w:tblGrid>
      <w:tr w:rsidR="005140CF" w:rsidRPr="00C42FA8" w14:paraId="1464BAFA" w14:textId="77777777" w:rsidTr="00FC66DF">
        <w:trPr>
          <w:cnfStyle w:val="100000000000" w:firstRow="1" w:lastRow="0" w:firstColumn="0" w:lastColumn="0" w:oddVBand="0" w:evenVBand="0" w:oddHBand="0" w:evenHBand="0" w:firstRowFirstColumn="0" w:firstRowLastColumn="0" w:lastRowFirstColumn="0" w:lastRowLastColumn="0"/>
          <w:trHeight w:val="743"/>
        </w:trPr>
        <w:tc>
          <w:tcPr>
            <w:tcW w:w="3221" w:type="dxa"/>
            <w:tcBorders>
              <w:bottom w:val="none" w:sz="0" w:space="0" w:color="auto"/>
            </w:tcBorders>
            <w:hideMark/>
          </w:tcPr>
          <w:p w14:paraId="61833FB7"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 </w:t>
            </w:r>
          </w:p>
        </w:tc>
        <w:tc>
          <w:tcPr>
            <w:tcW w:w="2176" w:type="dxa"/>
            <w:tcBorders>
              <w:bottom w:val="none" w:sz="0" w:space="0" w:color="auto"/>
            </w:tcBorders>
            <w:hideMark/>
          </w:tcPr>
          <w:p w14:paraId="033038C2" w14:textId="77777777" w:rsidR="005140CF" w:rsidRPr="00C42FA8" w:rsidRDefault="005140CF" w:rsidP="00F12FAA">
            <w:pPr>
              <w:jc w:val="center"/>
              <w:rPr>
                <w:rFonts w:eastAsia="Times New Roman"/>
                <w:color w:val="000000"/>
                <w:sz w:val="20"/>
                <w:szCs w:val="20"/>
                <w:lang w:eastAsia="es-MX"/>
              </w:rPr>
            </w:pPr>
            <w:r w:rsidRPr="00C42FA8">
              <w:rPr>
                <w:rFonts w:eastAsia="Times New Roman"/>
                <w:color w:val="000000"/>
                <w:sz w:val="20"/>
                <w:szCs w:val="20"/>
                <w:lang w:eastAsia="es-MX"/>
              </w:rPr>
              <w:t>Liderazgo transformacional</w:t>
            </w:r>
          </w:p>
        </w:tc>
        <w:tc>
          <w:tcPr>
            <w:tcW w:w="1735" w:type="dxa"/>
            <w:tcBorders>
              <w:bottom w:val="none" w:sz="0" w:space="0" w:color="auto"/>
            </w:tcBorders>
            <w:hideMark/>
          </w:tcPr>
          <w:p w14:paraId="6BFE25D1" w14:textId="77777777" w:rsidR="005140CF" w:rsidRPr="00C42FA8" w:rsidRDefault="005140CF" w:rsidP="00F12FAA">
            <w:pPr>
              <w:jc w:val="center"/>
              <w:rPr>
                <w:rFonts w:eastAsia="Times New Roman"/>
                <w:color w:val="000000"/>
                <w:sz w:val="20"/>
                <w:szCs w:val="20"/>
                <w:lang w:eastAsia="es-MX"/>
              </w:rPr>
            </w:pPr>
            <w:r w:rsidRPr="00C42FA8">
              <w:rPr>
                <w:rFonts w:eastAsia="Times New Roman"/>
                <w:color w:val="000000"/>
                <w:sz w:val="20"/>
                <w:szCs w:val="20"/>
                <w:lang w:eastAsia="es-MX"/>
              </w:rPr>
              <w:t>Confianza en el líder</w:t>
            </w:r>
          </w:p>
        </w:tc>
        <w:tc>
          <w:tcPr>
            <w:tcW w:w="1746" w:type="dxa"/>
            <w:tcBorders>
              <w:bottom w:val="none" w:sz="0" w:space="0" w:color="auto"/>
            </w:tcBorders>
            <w:hideMark/>
          </w:tcPr>
          <w:p w14:paraId="0FFDBDBD" w14:textId="77777777" w:rsidR="005140CF" w:rsidRPr="00C42FA8" w:rsidRDefault="005140CF" w:rsidP="00F12FAA">
            <w:pPr>
              <w:jc w:val="center"/>
              <w:rPr>
                <w:rFonts w:eastAsia="Times New Roman"/>
                <w:color w:val="000000"/>
                <w:sz w:val="20"/>
                <w:szCs w:val="20"/>
                <w:lang w:eastAsia="es-MX"/>
              </w:rPr>
            </w:pPr>
            <w:r w:rsidRPr="00C42FA8">
              <w:rPr>
                <w:rFonts w:eastAsia="Times New Roman"/>
                <w:color w:val="000000"/>
                <w:sz w:val="20"/>
                <w:szCs w:val="20"/>
                <w:lang w:eastAsia="es-MX"/>
              </w:rPr>
              <w:t>Bienestar psicológico en el trabajo</w:t>
            </w:r>
          </w:p>
        </w:tc>
      </w:tr>
      <w:tr w:rsidR="005140CF" w:rsidRPr="00C42FA8" w14:paraId="395D81AA" w14:textId="77777777" w:rsidTr="00FC66DF">
        <w:trPr>
          <w:trHeight w:val="338"/>
        </w:trPr>
        <w:tc>
          <w:tcPr>
            <w:tcW w:w="3221" w:type="dxa"/>
            <w:hideMark/>
          </w:tcPr>
          <w:p w14:paraId="7765CEF3"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Media</w:t>
            </w:r>
          </w:p>
        </w:tc>
        <w:tc>
          <w:tcPr>
            <w:tcW w:w="2176" w:type="dxa"/>
            <w:noWrap/>
            <w:hideMark/>
          </w:tcPr>
          <w:p w14:paraId="17C14115"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4.2174</w:t>
            </w:r>
          </w:p>
        </w:tc>
        <w:tc>
          <w:tcPr>
            <w:tcW w:w="1735" w:type="dxa"/>
            <w:noWrap/>
            <w:hideMark/>
          </w:tcPr>
          <w:p w14:paraId="6BEA7F65"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3.3188</w:t>
            </w:r>
          </w:p>
        </w:tc>
        <w:tc>
          <w:tcPr>
            <w:tcW w:w="1746" w:type="dxa"/>
            <w:noWrap/>
            <w:hideMark/>
          </w:tcPr>
          <w:p w14:paraId="1E262B72"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4.3409</w:t>
            </w:r>
          </w:p>
        </w:tc>
      </w:tr>
      <w:tr w:rsidR="005140CF" w:rsidRPr="00C42FA8" w14:paraId="5B827AE6" w14:textId="77777777" w:rsidTr="00FC66DF">
        <w:trPr>
          <w:trHeight w:val="306"/>
        </w:trPr>
        <w:tc>
          <w:tcPr>
            <w:tcW w:w="3221" w:type="dxa"/>
            <w:hideMark/>
          </w:tcPr>
          <w:p w14:paraId="53443B03"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Desviación estándar</w:t>
            </w:r>
          </w:p>
        </w:tc>
        <w:tc>
          <w:tcPr>
            <w:tcW w:w="2176" w:type="dxa"/>
            <w:noWrap/>
            <w:hideMark/>
          </w:tcPr>
          <w:p w14:paraId="7B98BD46"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.68201</w:t>
            </w:r>
          </w:p>
        </w:tc>
        <w:tc>
          <w:tcPr>
            <w:tcW w:w="1735" w:type="dxa"/>
            <w:noWrap/>
            <w:hideMark/>
          </w:tcPr>
          <w:p w14:paraId="2DA228CE"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.39859</w:t>
            </w:r>
          </w:p>
        </w:tc>
        <w:tc>
          <w:tcPr>
            <w:tcW w:w="1746" w:type="dxa"/>
            <w:noWrap/>
            <w:hideMark/>
          </w:tcPr>
          <w:p w14:paraId="410442C6"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.65968</w:t>
            </w:r>
          </w:p>
        </w:tc>
      </w:tr>
    </w:tbl>
    <w:p w14:paraId="37B1A2A5" w14:textId="77777777" w:rsidR="005140CF" w:rsidRPr="000167B2" w:rsidRDefault="00C43B02" w:rsidP="00C43B02">
      <w:pPr>
        <w:autoSpaceDE w:val="0"/>
        <w:autoSpaceDN w:val="0"/>
        <w:adjustRightInd w:val="0"/>
        <w:spacing w:after="0" w:line="360" w:lineRule="auto"/>
        <w:contextualSpacing/>
        <w:jc w:val="center"/>
      </w:pPr>
      <w:r w:rsidRPr="000167B2">
        <w:t>Fuente:</w:t>
      </w:r>
      <w:r w:rsidR="00C42FA8" w:rsidRPr="000167B2">
        <w:t xml:space="preserve"> Elaboración propia</w:t>
      </w:r>
    </w:p>
    <w:p w14:paraId="34B96CA8" w14:textId="7195F4C7" w:rsidR="00C43B02" w:rsidRDefault="00C43B02" w:rsidP="00C43B02">
      <w:pPr>
        <w:autoSpaceDE w:val="0"/>
        <w:autoSpaceDN w:val="0"/>
        <w:adjustRightInd w:val="0"/>
        <w:spacing w:after="0" w:line="360" w:lineRule="auto"/>
        <w:contextualSpacing/>
        <w:jc w:val="center"/>
        <w:rPr>
          <w:sz w:val="20"/>
          <w:szCs w:val="20"/>
        </w:rPr>
      </w:pPr>
    </w:p>
    <w:p w14:paraId="20DC7A2B" w14:textId="19AF480C" w:rsidR="000167B2" w:rsidRPr="000167B2" w:rsidRDefault="000167B2" w:rsidP="00C43B02">
      <w:pPr>
        <w:autoSpaceDE w:val="0"/>
        <w:autoSpaceDN w:val="0"/>
        <w:adjustRightInd w:val="0"/>
        <w:spacing w:after="0" w:line="360" w:lineRule="auto"/>
        <w:contextualSpacing/>
        <w:jc w:val="center"/>
      </w:pPr>
      <w:r w:rsidRPr="000167B2">
        <w:rPr>
          <w:b/>
        </w:rPr>
        <w:t>Tabla 3.</w:t>
      </w:r>
      <w:r w:rsidRPr="000167B2">
        <w:t xml:space="preserve"> Correlaciones entre variables</w:t>
      </w:r>
    </w:p>
    <w:tbl>
      <w:tblPr>
        <w:tblStyle w:val="Tablanormal21"/>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964"/>
        <w:gridCol w:w="2192"/>
        <w:gridCol w:w="1757"/>
      </w:tblGrid>
      <w:tr w:rsidR="005140CF" w:rsidRPr="00C42FA8" w14:paraId="1C18685A" w14:textId="77777777" w:rsidTr="00FC66DF">
        <w:trPr>
          <w:cnfStyle w:val="100000000000" w:firstRow="1" w:lastRow="0" w:firstColumn="0" w:lastColumn="0" w:oddVBand="0" w:evenVBand="0" w:oddHBand="0" w:evenHBand="0" w:firstRowFirstColumn="0" w:firstRowLastColumn="0" w:lastRowFirstColumn="0" w:lastRowLastColumn="0"/>
          <w:trHeight w:val="618"/>
        </w:trPr>
        <w:tc>
          <w:tcPr>
            <w:tcW w:w="4964" w:type="dxa"/>
            <w:tcBorders>
              <w:bottom w:val="none" w:sz="0" w:space="0" w:color="auto"/>
            </w:tcBorders>
            <w:hideMark/>
          </w:tcPr>
          <w:p w14:paraId="65EFED77"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 </w:t>
            </w:r>
          </w:p>
        </w:tc>
        <w:tc>
          <w:tcPr>
            <w:tcW w:w="2192" w:type="dxa"/>
            <w:tcBorders>
              <w:bottom w:val="none" w:sz="0" w:space="0" w:color="auto"/>
            </w:tcBorders>
            <w:hideMark/>
          </w:tcPr>
          <w:p w14:paraId="4075C885" w14:textId="77777777" w:rsidR="005140CF" w:rsidRPr="00C42FA8" w:rsidRDefault="005140CF" w:rsidP="00F12FAA">
            <w:pPr>
              <w:jc w:val="center"/>
              <w:rPr>
                <w:rFonts w:eastAsia="Times New Roman"/>
                <w:color w:val="000000"/>
                <w:sz w:val="20"/>
                <w:szCs w:val="20"/>
                <w:lang w:eastAsia="es-MX"/>
              </w:rPr>
            </w:pPr>
            <w:r w:rsidRPr="00C42FA8">
              <w:rPr>
                <w:rFonts w:eastAsia="Times New Roman"/>
                <w:color w:val="000000"/>
                <w:sz w:val="20"/>
                <w:szCs w:val="20"/>
                <w:lang w:eastAsia="es-MX"/>
              </w:rPr>
              <w:t>Liderazgo transformacional</w:t>
            </w:r>
          </w:p>
        </w:tc>
        <w:tc>
          <w:tcPr>
            <w:tcW w:w="1757" w:type="dxa"/>
            <w:tcBorders>
              <w:bottom w:val="none" w:sz="0" w:space="0" w:color="auto"/>
            </w:tcBorders>
            <w:hideMark/>
          </w:tcPr>
          <w:p w14:paraId="019A6B70" w14:textId="77777777" w:rsidR="005140CF" w:rsidRPr="00C42FA8" w:rsidRDefault="005140CF" w:rsidP="00F12FAA">
            <w:pPr>
              <w:jc w:val="center"/>
              <w:rPr>
                <w:rFonts w:eastAsia="Times New Roman"/>
                <w:color w:val="000000"/>
                <w:sz w:val="20"/>
                <w:szCs w:val="20"/>
                <w:lang w:eastAsia="es-MX"/>
              </w:rPr>
            </w:pPr>
            <w:r w:rsidRPr="00C42FA8">
              <w:rPr>
                <w:rFonts w:eastAsia="Times New Roman"/>
                <w:color w:val="000000"/>
                <w:sz w:val="20"/>
                <w:szCs w:val="20"/>
                <w:lang w:eastAsia="es-MX"/>
              </w:rPr>
              <w:t>Confianza en el líder</w:t>
            </w:r>
          </w:p>
        </w:tc>
      </w:tr>
      <w:tr w:rsidR="005140CF" w:rsidRPr="00C42FA8" w14:paraId="74F580F3" w14:textId="77777777" w:rsidTr="00FC66DF">
        <w:trPr>
          <w:trHeight w:val="400"/>
        </w:trPr>
        <w:tc>
          <w:tcPr>
            <w:tcW w:w="4964" w:type="dxa"/>
            <w:hideMark/>
          </w:tcPr>
          <w:p w14:paraId="6F68152B"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Liderazgo transformacional</w:t>
            </w:r>
          </w:p>
        </w:tc>
        <w:tc>
          <w:tcPr>
            <w:tcW w:w="2192" w:type="dxa"/>
            <w:noWrap/>
            <w:hideMark/>
          </w:tcPr>
          <w:p w14:paraId="0700FB1D"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c>
          <w:tcPr>
            <w:tcW w:w="1757" w:type="dxa"/>
            <w:noWrap/>
            <w:hideMark/>
          </w:tcPr>
          <w:p w14:paraId="4BAE335E"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r>
      <w:tr w:rsidR="005140CF" w:rsidRPr="00C42FA8" w14:paraId="55908C37" w14:textId="77777777" w:rsidTr="00FC66DF">
        <w:trPr>
          <w:trHeight w:val="242"/>
        </w:trPr>
        <w:tc>
          <w:tcPr>
            <w:tcW w:w="4964" w:type="dxa"/>
            <w:hideMark/>
          </w:tcPr>
          <w:p w14:paraId="0960E863"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Confianza en el líder</w:t>
            </w:r>
          </w:p>
        </w:tc>
        <w:tc>
          <w:tcPr>
            <w:tcW w:w="2192" w:type="dxa"/>
            <w:noWrap/>
            <w:hideMark/>
          </w:tcPr>
          <w:p w14:paraId="65BFC60D"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,653</w:t>
            </w:r>
            <w:r w:rsidRPr="00C42FA8">
              <w:rPr>
                <w:rFonts w:eastAsia="Times New Roman"/>
                <w:color w:val="000000"/>
                <w:sz w:val="20"/>
                <w:szCs w:val="20"/>
                <w:vertAlign w:val="superscript"/>
                <w:lang w:eastAsia="es-MX"/>
              </w:rPr>
              <w:t>**</w:t>
            </w:r>
          </w:p>
        </w:tc>
        <w:tc>
          <w:tcPr>
            <w:tcW w:w="1757" w:type="dxa"/>
            <w:noWrap/>
            <w:hideMark/>
          </w:tcPr>
          <w:p w14:paraId="091DC162"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r>
      <w:tr w:rsidR="005140CF" w:rsidRPr="00C42FA8" w14:paraId="3D1D34F4" w14:textId="77777777" w:rsidTr="00FC66DF">
        <w:trPr>
          <w:trHeight w:val="388"/>
        </w:trPr>
        <w:tc>
          <w:tcPr>
            <w:tcW w:w="4964" w:type="dxa"/>
            <w:hideMark/>
          </w:tcPr>
          <w:p w14:paraId="255FFBFD"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Bienestar psicológico en el trabajo</w:t>
            </w:r>
          </w:p>
        </w:tc>
        <w:tc>
          <w:tcPr>
            <w:tcW w:w="2192" w:type="dxa"/>
            <w:noWrap/>
            <w:hideMark/>
          </w:tcPr>
          <w:p w14:paraId="6E52E2DD"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,660</w:t>
            </w:r>
            <w:r w:rsidRPr="00C42FA8">
              <w:rPr>
                <w:rFonts w:eastAsia="Times New Roman"/>
                <w:color w:val="000000"/>
                <w:sz w:val="20"/>
                <w:szCs w:val="20"/>
                <w:vertAlign w:val="superscript"/>
                <w:lang w:eastAsia="es-MX"/>
              </w:rPr>
              <w:t>**</w:t>
            </w:r>
          </w:p>
        </w:tc>
        <w:tc>
          <w:tcPr>
            <w:tcW w:w="1757" w:type="dxa"/>
            <w:noWrap/>
            <w:hideMark/>
          </w:tcPr>
          <w:p w14:paraId="7CD61CD6"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,506</w:t>
            </w:r>
            <w:r w:rsidRPr="00C42FA8">
              <w:rPr>
                <w:rFonts w:eastAsia="Times New Roman"/>
                <w:color w:val="000000"/>
                <w:sz w:val="20"/>
                <w:szCs w:val="20"/>
                <w:vertAlign w:val="superscript"/>
                <w:lang w:eastAsia="es-MX"/>
              </w:rPr>
              <w:t>*</w:t>
            </w:r>
          </w:p>
        </w:tc>
      </w:tr>
      <w:tr w:rsidR="005140CF" w:rsidRPr="00C42FA8" w14:paraId="291516E0" w14:textId="77777777" w:rsidTr="00FC66DF">
        <w:trPr>
          <w:trHeight w:val="242"/>
        </w:trPr>
        <w:tc>
          <w:tcPr>
            <w:tcW w:w="8913" w:type="dxa"/>
            <w:gridSpan w:val="3"/>
            <w:hideMark/>
          </w:tcPr>
          <w:p w14:paraId="24854E2F"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 La correlación es significativa en el nivel 0,01 (2 colas).</w:t>
            </w:r>
          </w:p>
        </w:tc>
      </w:tr>
      <w:tr w:rsidR="005140CF" w:rsidRPr="00C42FA8" w14:paraId="18479B32" w14:textId="77777777" w:rsidTr="00FC66DF">
        <w:trPr>
          <w:trHeight w:val="242"/>
        </w:trPr>
        <w:tc>
          <w:tcPr>
            <w:tcW w:w="8913" w:type="dxa"/>
            <w:gridSpan w:val="3"/>
            <w:hideMark/>
          </w:tcPr>
          <w:p w14:paraId="291B52E3"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 La correlación es significativa en el nivel 0,05 (2 colas).</w:t>
            </w:r>
          </w:p>
        </w:tc>
      </w:tr>
    </w:tbl>
    <w:p w14:paraId="0E1980A5" w14:textId="77777777" w:rsidR="005140CF" w:rsidRPr="000167B2" w:rsidRDefault="00C42FA8" w:rsidP="00C43B02">
      <w:pPr>
        <w:spacing w:line="360" w:lineRule="auto"/>
        <w:contextualSpacing/>
        <w:jc w:val="center"/>
      </w:pPr>
      <w:r w:rsidRPr="000167B2">
        <w:t>Fuente</w:t>
      </w:r>
      <w:r w:rsidR="00C43B02" w:rsidRPr="000167B2">
        <w:t>:</w:t>
      </w:r>
      <w:r w:rsidRPr="000167B2">
        <w:t xml:space="preserve"> Elaboración propia</w:t>
      </w:r>
    </w:p>
    <w:p w14:paraId="6A2FA1A3" w14:textId="3F5A4A18" w:rsidR="005140CF" w:rsidRPr="00C42FA8" w:rsidRDefault="00C43B02" w:rsidP="00BB18CF">
      <w:pPr>
        <w:autoSpaceDE w:val="0"/>
        <w:autoSpaceDN w:val="0"/>
        <w:adjustRightInd w:val="0"/>
        <w:spacing w:after="0" w:line="360" w:lineRule="auto"/>
        <w:ind w:firstLine="708"/>
        <w:contextualSpacing/>
        <w:jc w:val="both"/>
      </w:pPr>
      <w:r>
        <w:lastRenderedPageBreak/>
        <w:t>E</w:t>
      </w:r>
      <w:r w:rsidR="003C0177">
        <w:t>n la T</w:t>
      </w:r>
      <w:r w:rsidR="00140A0E">
        <w:t xml:space="preserve">abla 3 </w:t>
      </w:r>
      <w:r>
        <w:t xml:space="preserve">se observa </w:t>
      </w:r>
      <w:r w:rsidR="005140CF" w:rsidRPr="00C42FA8">
        <w:t xml:space="preserve">que el coeficiente de correlación de Pearson entre las variables </w:t>
      </w:r>
      <w:r w:rsidRPr="00C43B02">
        <w:rPr>
          <w:rFonts w:eastAsia="Times New Roman"/>
          <w:i/>
          <w:color w:val="000000"/>
          <w:lang w:eastAsia="es-MX"/>
        </w:rPr>
        <w:t>l</w:t>
      </w:r>
      <w:r w:rsidR="005140CF" w:rsidRPr="00C43B02">
        <w:rPr>
          <w:rFonts w:eastAsia="Times New Roman"/>
          <w:i/>
          <w:color w:val="000000"/>
          <w:lang w:eastAsia="es-MX"/>
        </w:rPr>
        <w:t>iderazgo transformacional</w:t>
      </w:r>
      <w:r w:rsidR="005140CF" w:rsidRPr="00C42FA8">
        <w:t xml:space="preserve"> y </w:t>
      </w:r>
      <w:r w:rsidRPr="00C43B02">
        <w:rPr>
          <w:i/>
        </w:rPr>
        <w:t>b</w:t>
      </w:r>
      <w:r w:rsidR="005140CF" w:rsidRPr="00C43B02">
        <w:rPr>
          <w:rFonts w:eastAsia="Times New Roman"/>
          <w:i/>
          <w:color w:val="000000"/>
          <w:lang w:eastAsia="es-MX"/>
        </w:rPr>
        <w:t>ienestar psicológico en el trabajo</w:t>
      </w:r>
      <w:r w:rsidR="005140CF" w:rsidRPr="00C42FA8">
        <w:rPr>
          <w:rFonts w:eastAsia="Times New Roman"/>
          <w:color w:val="000000"/>
          <w:lang w:eastAsia="es-MX"/>
        </w:rPr>
        <w:t xml:space="preserve"> es de ,660</w:t>
      </w:r>
      <w:r w:rsidR="005140CF" w:rsidRPr="00C42FA8">
        <w:rPr>
          <w:rFonts w:eastAsia="Times New Roman"/>
          <w:color w:val="000000"/>
          <w:vertAlign w:val="superscript"/>
          <w:lang w:eastAsia="es-MX"/>
        </w:rPr>
        <w:t>**</w:t>
      </w:r>
      <w:r w:rsidR="005140CF" w:rsidRPr="00C42FA8">
        <w:t xml:space="preserve">. Entre </w:t>
      </w:r>
      <w:r w:rsidRPr="00C43B02">
        <w:rPr>
          <w:rFonts w:eastAsia="Times New Roman"/>
          <w:i/>
          <w:color w:val="000000"/>
          <w:lang w:eastAsia="es-MX"/>
        </w:rPr>
        <w:t>l</w:t>
      </w:r>
      <w:r w:rsidR="005140CF" w:rsidRPr="00C43B02">
        <w:rPr>
          <w:rFonts w:eastAsia="Times New Roman"/>
          <w:i/>
          <w:color w:val="000000"/>
          <w:lang w:eastAsia="es-MX"/>
        </w:rPr>
        <w:t>iderazgo transformacional</w:t>
      </w:r>
      <w:r w:rsidR="005140CF" w:rsidRPr="00C42FA8">
        <w:rPr>
          <w:rFonts w:eastAsia="Times New Roman"/>
          <w:color w:val="000000"/>
          <w:lang w:eastAsia="es-MX"/>
        </w:rPr>
        <w:t xml:space="preserve"> y </w:t>
      </w:r>
      <w:r w:rsidRPr="00C43B02">
        <w:rPr>
          <w:rFonts w:eastAsia="Times New Roman"/>
          <w:i/>
          <w:color w:val="000000"/>
          <w:lang w:eastAsia="es-MX"/>
        </w:rPr>
        <w:t>c</w:t>
      </w:r>
      <w:r w:rsidR="005140CF" w:rsidRPr="00C43B02">
        <w:rPr>
          <w:rFonts w:eastAsia="Times New Roman"/>
          <w:i/>
          <w:color w:val="000000"/>
          <w:lang w:eastAsia="es-MX"/>
        </w:rPr>
        <w:t>onfianza en el líder</w:t>
      </w:r>
      <w:r w:rsidR="005140CF" w:rsidRPr="00C42FA8">
        <w:rPr>
          <w:rFonts w:eastAsia="Times New Roman"/>
          <w:color w:val="000000"/>
          <w:lang w:eastAsia="es-MX"/>
        </w:rPr>
        <w:t xml:space="preserve"> es de ,653</w:t>
      </w:r>
      <w:r w:rsidR="005140CF" w:rsidRPr="00C42FA8">
        <w:rPr>
          <w:rFonts w:eastAsia="Times New Roman"/>
          <w:color w:val="000000"/>
          <w:vertAlign w:val="superscript"/>
          <w:lang w:eastAsia="es-MX"/>
        </w:rPr>
        <w:t>*</w:t>
      </w:r>
      <w:r w:rsidR="00BB18CF" w:rsidRPr="00C42FA8">
        <w:rPr>
          <w:rFonts w:eastAsia="Times New Roman"/>
          <w:color w:val="000000"/>
          <w:vertAlign w:val="superscript"/>
          <w:lang w:eastAsia="es-MX"/>
        </w:rPr>
        <w:t xml:space="preserve">* </w:t>
      </w:r>
      <w:r w:rsidR="00BB18CF" w:rsidRPr="00C42FA8">
        <w:t>y</w:t>
      </w:r>
      <w:r w:rsidR="005140CF" w:rsidRPr="00C42FA8">
        <w:t xml:space="preserve"> de </w:t>
      </w:r>
      <w:r w:rsidRPr="00C43B02">
        <w:rPr>
          <w:i/>
        </w:rPr>
        <w:t>c</w:t>
      </w:r>
      <w:r w:rsidR="005140CF" w:rsidRPr="00C43B02">
        <w:rPr>
          <w:rFonts w:eastAsia="Times New Roman"/>
          <w:i/>
          <w:color w:val="000000"/>
          <w:lang w:eastAsia="es-MX"/>
        </w:rPr>
        <w:t>onfianza en el líder</w:t>
      </w:r>
      <w:r w:rsidR="005140CF" w:rsidRPr="00C42FA8">
        <w:rPr>
          <w:rFonts w:eastAsia="Times New Roman"/>
          <w:color w:val="000000"/>
          <w:lang w:eastAsia="es-MX"/>
        </w:rPr>
        <w:t xml:space="preserve"> con </w:t>
      </w:r>
      <w:r w:rsidRPr="00C43B02">
        <w:rPr>
          <w:rFonts w:eastAsia="Times New Roman"/>
          <w:i/>
          <w:color w:val="000000"/>
          <w:lang w:eastAsia="es-MX"/>
        </w:rPr>
        <w:t>b</w:t>
      </w:r>
      <w:r w:rsidR="005140CF" w:rsidRPr="00C43B02">
        <w:rPr>
          <w:rFonts w:eastAsia="Times New Roman"/>
          <w:i/>
          <w:color w:val="000000"/>
          <w:lang w:eastAsia="es-MX"/>
        </w:rPr>
        <w:t>ienestar psicológico en el trabajo</w:t>
      </w:r>
      <w:r w:rsidR="005140CF" w:rsidRPr="00C42FA8">
        <w:rPr>
          <w:rFonts w:eastAsia="Times New Roman"/>
          <w:color w:val="000000"/>
          <w:lang w:eastAsia="es-MX"/>
        </w:rPr>
        <w:t xml:space="preserve"> de ,506</w:t>
      </w:r>
      <w:r w:rsidR="005140CF" w:rsidRPr="00C42FA8">
        <w:rPr>
          <w:rFonts w:eastAsia="Times New Roman"/>
          <w:color w:val="000000"/>
          <w:vertAlign w:val="superscript"/>
          <w:lang w:eastAsia="es-MX"/>
        </w:rPr>
        <w:t>*</w:t>
      </w:r>
      <w:r w:rsidR="005140CF" w:rsidRPr="00C42FA8">
        <w:t>.</w:t>
      </w:r>
    </w:p>
    <w:p w14:paraId="4058DECE" w14:textId="77777777" w:rsidR="005D414A" w:rsidRDefault="005140CF" w:rsidP="00666F95">
      <w:pPr>
        <w:autoSpaceDE w:val="0"/>
        <w:autoSpaceDN w:val="0"/>
        <w:adjustRightInd w:val="0"/>
        <w:spacing w:after="0" w:line="360" w:lineRule="auto"/>
        <w:ind w:firstLine="708"/>
        <w:contextualSpacing/>
        <w:jc w:val="both"/>
      </w:pPr>
      <w:r w:rsidRPr="00C42FA8">
        <w:t xml:space="preserve">Como los valores de Pearson van de -1 a 1 </w:t>
      </w:r>
      <w:r w:rsidR="00C43B02">
        <w:t>—</w:t>
      </w:r>
      <w:r w:rsidRPr="00C42FA8">
        <w:t xml:space="preserve">siendo </w:t>
      </w:r>
      <w:r w:rsidR="00C43B02">
        <w:t>0</w:t>
      </w:r>
      <w:r w:rsidRPr="00C42FA8">
        <w:t xml:space="preserve"> indicador de que no existe correlación</w:t>
      </w:r>
      <w:r w:rsidR="00C43B02">
        <w:t>—</w:t>
      </w:r>
      <w:r w:rsidRPr="00C42FA8">
        <w:t xml:space="preserve">, </w:t>
      </w:r>
      <w:r w:rsidR="00731944">
        <w:t>se aprecia</w:t>
      </w:r>
      <w:r w:rsidRPr="00C42FA8">
        <w:t xml:space="preserve"> que entre estas dos variables existe una correlación significativa. La dirección de la correlación es positiva, es decir, </w:t>
      </w:r>
      <w:r w:rsidR="00C43B02">
        <w:t>directa.</w:t>
      </w:r>
      <w:r w:rsidRPr="00C42FA8">
        <w:t xml:space="preserve"> </w:t>
      </w:r>
      <w:r w:rsidR="00C43B02">
        <w:t>P</w:t>
      </w:r>
      <w:r w:rsidRPr="00C42FA8">
        <w:t xml:space="preserve">or lo </w:t>
      </w:r>
      <w:r w:rsidR="00BB18CF" w:rsidRPr="00C42FA8">
        <w:t>tanto,</w:t>
      </w:r>
      <w:r w:rsidRPr="00C42FA8">
        <w:t xml:space="preserve"> si aumenta la percepción de los colaboradores en una variable</w:t>
      </w:r>
      <w:r w:rsidR="00731944">
        <w:t>,</w:t>
      </w:r>
      <w:r w:rsidRPr="00C42FA8">
        <w:t xml:space="preserve"> aumenta en la otra </w:t>
      </w:r>
      <w:r w:rsidR="00731944">
        <w:t>(</w:t>
      </w:r>
      <w:r w:rsidRPr="00C42FA8">
        <w:t>y viceversa</w:t>
      </w:r>
      <w:r w:rsidR="00731944">
        <w:t>)</w:t>
      </w:r>
      <w:r w:rsidR="00C43B02">
        <w:t>.</w:t>
      </w:r>
    </w:p>
    <w:p w14:paraId="42BF328E" w14:textId="77777777" w:rsidR="0073794F" w:rsidRDefault="0073794F" w:rsidP="00666F95">
      <w:pPr>
        <w:autoSpaceDE w:val="0"/>
        <w:autoSpaceDN w:val="0"/>
        <w:adjustRightInd w:val="0"/>
        <w:spacing w:after="0" w:line="360" w:lineRule="auto"/>
        <w:ind w:firstLine="708"/>
        <w:contextualSpacing/>
        <w:jc w:val="both"/>
      </w:pPr>
    </w:p>
    <w:p w14:paraId="1D66742B" w14:textId="6C802B70" w:rsidR="000167B2" w:rsidRPr="00C42FA8" w:rsidRDefault="000167B2" w:rsidP="00666F95">
      <w:pPr>
        <w:autoSpaceDE w:val="0"/>
        <w:autoSpaceDN w:val="0"/>
        <w:adjustRightInd w:val="0"/>
        <w:spacing w:after="0" w:line="360" w:lineRule="auto"/>
        <w:ind w:firstLine="708"/>
        <w:contextualSpacing/>
        <w:jc w:val="both"/>
      </w:pPr>
      <w:r w:rsidRPr="000167B2">
        <w:rPr>
          <w:b/>
        </w:rPr>
        <w:t>Tabla 4.</w:t>
      </w:r>
      <w:r>
        <w:t xml:space="preserve"> Correlaciones entre dimensiones de </w:t>
      </w:r>
      <w:r w:rsidRPr="000167B2">
        <w:rPr>
          <w:i/>
        </w:rPr>
        <w:t>bienestar psicológico en el trabajo</w:t>
      </w:r>
    </w:p>
    <w:tbl>
      <w:tblPr>
        <w:tblStyle w:val="Tablanormal21"/>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460"/>
        <w:gridCol w:w="1361"/>
        <w:gridCol w:w="1273"/>
        <w:gridCol w:w="1283"/>
        <w:gridCol w:w="1583"/>
      </w:tblGrid>
      <w:tr w:rsidR="005140CF" w:rsidRPr="00C42FA8" w14:paraId="67C8D582" w14:textId="77777777" w:rsidTr="00FC66DF">
        <w:trPr>
          <w:cnfStyle w:val="100000000000" w:firstRow="1" w:lastRow="0" w:firstColumn="0" w:lastColumn="0" w:oddVBand="0" w:evenVBand="0" w:oddHBand="0" w:evenHBand="0" w:firstRowFirstColumn="0" w:firstRowLastColumn="0" w:lastRowFirstColumn="0" w:lastRowLastColumn="0"/>
          <w:trHeight w:val="1016"/>
        </w:trPr>
        <w:tc>
          <w:tcPr>
            <w:tcW w:w="3604" w:type="dxa"/>
            <w:tcBorders>
              <w:bottom w:val="none" w:sz="0" w:space="0" w:color="auto"/>
            </w:tcBorders>
            <w:hideMark/>
          </w:tcPr>
          <w:p w14:paraId="76BA56DB"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 </w:t>
            </w:r>
          </w:p>
        </w:tc>
        <w:tc>
          <w:tcPr>
            <w:tcW w:w="1276" w:type="dxa"/>
            <w:tcBorders>
              <w:bottom w:val="none" w:sz="0" w:space="0" w:color="auto"/>
            </w:tcBorders>
            <w:hideMark/>
          </w:tcPr>
          <w:p w14:paraId="65A30B90" w14:textId="77777777" w:rsidR="005140CF" w:rsidRPr="00C42FA8" w:rsidRDefault="005140CF" w:rsidP="00F12FAA">
            <w:pPr>
              <w:jc w:val="center"/>
              <w:rPr>
                <w:rFonts w:eastAsia="Times New Roman"/>
                <w:color w:val="000000"/>
                <w:sz w:val="20"/>
                <w:szCs w:val="20"/>
                <w:lang w:eastAsia="es-MX"/>
              </w:rPr>
            </w:pPr>
            <w:r w:rsidRPr="00C42FA8">
              <w:rPr>
                <w:rFonts w:eastAsia="Times New Roman"/>
                <w:color w:val="000000"/>
                <w:sz w:val="20"/>
                <w:szCs w:val="20"/>
                <w:lang w:eastAsia="es-MX"/>
              </w:rPr>
              <w:t>Ajuste interpersonal</w:t>
            </w:r>
          </w:p>
        </w:tc>
        <w:tc>
          <w:tcPr>
            <w:tcW w:w="1273" w:type="dxa"/>
            <w:tcBorders>
              <w:bottom w:val="none" w:sz="0" w:space="0" w:color="auto"/>
            </w:tcBorders>
            <w:hideMark/>
          </w:tcPr>
          <w:p w14:paraId="3AFF84D4" w14:textId="77777777" w:rsidR="005140CF" w:rsidRPr="00C42FA8" w:rsidRDefault="005140CF" w:rsidP="00F12FAA">
            <w:pPr>
              <w:jc w:val="center"/>
              <w:rPr>
                <w:rFonts w:eastAsia="Times New Roman"/>
                <w:color w:val="000000"/>
                <w:sz w:val="20"/>
                <w:szCs w:val="20"/>
                <w:lang w:eastAsia="es-MX"/>
              </w:rPr>
            </w:pPr>
            <w:r w:rsidRPr="00C42FA8">
              <w:rPr>
                <w:rFonts w:eastAsia="Times New Roman"/>
                <w:color w:val="000000"/>
                <w:sz w:val="20"/>
                <w:szCs w:val="20"/>
                <w:lang w:eastAsia="es-MX"/>
              </w:rPr>
              <w:t>Prosperidad laboral</w:t>
            </w:r>
          </w:p>
        </w:tc>
        <w:tc>
          <w:tcPr>
            <w:tcW w:w="1275" w:type="dxa"/>
            <w:tcBorders>
              <w:bottom w:val="none" w:sz="0" w:space="0" w:color="auto"/>
            </w:tcBorders>
            <w:hideMark/>
          </w:tcPr>
          <w:p w14:paraId="779799F8" w14:textId="77777777" w:rsidR="005140CF" w:rsidRPr="00C42FA8" w:rsidRDefault="005140CF" w:rsidP="00F12FAA">
            <w:pPr>
              <w:jc w:val="center"/>
              <w:rPr>
                <w:rFonts w:eastAsia="Times New Roman"/>
                <w:color w:val="000000"/>
                <w:sz w:val="20"/>
                <w:szCs w:val="20"/>
                <w:lang w:eastAsia="es-MX"/>
              </w:rPr>
            </w:pPr>
            <w:r w:rsidRPr="00C42FA8">
              <w:rPr>
                <w:rFonts w:eastAsia="Times New Roman"/>
                <w:color w:val="000000"/>
                <w:sz w:val="20"/>
                <w:szCs w:val="20"/>
                <w:lang w:eastAsia="es-MX"/>
              </w:rPr>
              <w:t>Sentimiento de competencia en el trabajo</w:t>
            </w:r>
          </w:p>
        </w:tc>
        <w:tc>
          <w:tcPr>
            <w:tcW w:w="1532" w:type="dxa"/>
            <w:tcBorders>
              <w:bottom w:val="none" w:sz="0" w:space="0" w:color="auto"/>
            </w:tcBorders>
            <w:hideMark/>
          </w:tcPr>
          <w:p w14:paraId="0DFAC0F3" w14:textId="77777777" w:rsidR="005140CF" w:rsidRPr="00C42FA8" w:rsidRDefault="005140CF" w:rsidP="00F12FAA">
            <w:pPr>
              <w:jc w:val="center"/>
              <w:rPr>
                <w:rFonts w:eastAsia="Times New Roman"/>
                <w:color w:val="000000"/>
                <w:sz w:val="20"/>
                <w:szCs w:val="20"/>
                <w:lang w:eastAsia="es-MX"/>
              </w:rPr>
            </w:pPr>
            <w:r w:rsidRPr="00C42FA8">
              <w:rPr>
                <w:rFonts w:eastAsia="Times New Roman"/>
                <w:color w:val="000000"/>
                <w:sz w:val="20"/>
                <w:szCs w:val="20"/>
                <w:lang w:eastAsia="es-MX"/>
              </w:rPr>
              <w:t>Reconocimiento percibido en el trabajo</w:t>
            </w:r>
          </w:p>
        </w:tc>
      </w:tr>
      <w:tr w:rsidR="005140CF" w:rsidRPr="00C42FA8" w14:paraId="7D84C2E1" w14:textId="77777777" w:rsidTr="00FC66DF">
        <w:trPr>
          <w:trHeight w:val="318"/>
        </w:trPr>
        <w:tc>
          <w:tcPr>
            <w:tcW w:w="3604" w:type="dxa"/>
            <w:hideMark/>
          </w:tcPr>
          <w:p w14:paraId="1EB3D503"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Ajuste interpersonal</w:t>
            </w:r>
          </w:p>
        </w:tc>
        <w:tc>
          <w:tcPr>
            <w:tcW w:w="1276" w:type="dxa"/>
            <w:noWrap/>
            <w:hideMark/>
          </w:tcPr>
          <w:p w14:paraId="73FFA66F"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c>
          <w:tcPr>
            <w:tcW w:w="1273" w:type="dxa"/>
            <w:noWrap/>
            <w:hideMark/>
          </w:tcPr>
          <w:p w14:paraId="31A0E211"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c>
          <w:tcPr>
            <w:tcW w:w="1275" w:type="dxa"/>
            <w:noWrap/>
            <w:hideMark/>
          </w:tcPr>
          <w:p w14:paraId="040D75D4"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c>
          <w:tcPr>
            <w:tcW w:w="1532" w:type="dxa"/>
            <w:noWrap/>
            <w:hideMark/>
          </w:tcPr>
          <w:p w14:paraId="136DFCB7"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r>
      <w:tr w:rsidR="005140CF" w:rsidRPr="00C42FA8" w14:paraId="6A95926F" w14:textId="77777777" w:rsidTr="00FC66DF">
        <w:trPr>
          <w:trHeight w:val="303"/>
        </w:trPr>
        <w:tc>
          <w:tcPr>
            <w:tcW w:w="3604" w:type="dxa"/>
            <w:hideMark/>
          </w:tcPr>
          <w:p w14:paraId="6935401A"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Prosperidad laboral</w:t>
            </w:r>
          </w:p>
        </w:tc>
        <w:tc>
          <w:tcPr>
            <w:tcW w:w="1276" w:type="dxa"/>
            <w:noWrap/>
            <w:hideMark/>
          </w:tcPr>
          <w:p w14:paraId="3AE903C8"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,943</w:t>
            </w:r>
            <w:r w:rsidRPr="00C42FA8">
              <w:rPr>
                <w:rFonts w:eastAsia="Times New Roman"/>
                <w:color w:val="000000"/>
                <w:sz w:val="20"/>
                <w:szCs w:val="20"/>
                <w:vertAlign w:val="superscript"/>
                <w:lang w:eastAsia="es-MX"/>
              </w:rPr>
              <w:t>**</w:t>
            </w:r>
          </w:p>
        </w:tc>
        <w:tc>
          <w:tcPr>
            <w:tcW w:w="1273" w:type="dxa"/>
            <w:noWrap/>
            <w:hideMark/>
          </w:tcPr>
          <w:p w14:paraId="1842DD6F"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c>
          <w:tcPr>
            <w:tcW w:w="1275" w:type="dxa"/>
            <w:noWrap/>
            <w:hideMark/>
          </w:tcPr>
          <w:p w14:paraId="5835B3A1"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c>
          <w:tcPr>
            <w:tcW w:w="1532" w:type="dxa"/>
            <w:noWrap/>
            <w:hideMark/>
          </w:tcPr>
          <w:p w14:paraId="1F390C32"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r>
      <w:tr w:rsidR="005140CF" w:rsidRPr="00C42FA8" w14:paraId="22E73E27" w14:textId="77777777" w:rsidTr="00FC66DF">
        <w:trPr>
          <w:trHeight w:val="303"/>
        </w:trPr>
        <w:tc>
          <w:tcPr>
            <w:tcW w:w="3604" w:type="dxa"/>
            <w:hideMark/>
          </w:tcPr>
          <w:p w14:paraId="071F95FA"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Sentimiento de competencia en el trabajo</w:t>
            </w:r>
          </w:p>
        </w:tc>
        <w:tc>
          <w:tcPr>
            <w:tcW w:w="1276" w:type="dxa"/>
            <w:noWrap/>
            <w:hideMark/>
          </w:tcPr>
          <w:p w14:paraId="61C94FA4"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,895</w:t>
            </w:r>
            <w:r w:rsidRPr="00C42FA8">
              <w:rPr>
                <w:rFonts w:eastAsia="Times New Roman"/>
                <w:color w:val="000000"/>
                <w:sz w:val="20"/>
                <w:szCs w:val="20"/>
                <w:vertAlign w:val="superscript"/>
                <w:lang w:eastAsia="es-MX"/>
              </w:rPr>
              <w:t>**</w:t>
            </w:r>
          </w:p>
        </w:tc>
        <w:tc>
          <w:tcPr>
            <w:tcW w:w="1273" w:type="dxa"/>
            <w:noWrap/>
            <w:hideMark/>
          </w:tcPr>
          <w:p w14:paraId="03012CC9"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,909</w:t>
            </w:r>
            <w:r w:rsidRPr="00C42FA8">
              <w:rPr>
                <w:rFonts w:eastAsia="Times New Roman"/>
                <w:color w:val="000000"/>
                <w:sz w:val="20"/>
                <w:szCs w:val="20"/>
                <w:vertAlign w:val="superscript"/>
                <w:lang w:eastAsia="es-MX"/>
              </w:rPr>
              <w:t>**</w:t>
            </w:r>
          </w:p>
        </w:tc>
        <w:tc>
          <w:tcPr>
            <w:tcW w:w="1275" w:type="dxa"/>
            <w:noWrap/>
            <w:hideMark/>
          </w:tcPr>
          <w:p w14:paraId="5F1FC534"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c>
          <w:tcPr>
            <w:tcW w:w="1532" w:type="dxa"/>
            <w:noWrap/>
            <w:hideMark/>
          </w:tcPr>
          <w:p w14:paraId="60DD3FD8"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r>
      <w:tr w:rsidR="005140CF" w:rsidRPr="00C42FA8" w14:paraId="0F50EAC9" w14:textId="77777777" w:rsidTr="00FC66DF">
        <w:trPr>
          <w:trHeight w:val="303"/>
        </w:trPr>
        <w:tc>
          <w:tcPr>
            <w:tcW w:w="3604" w:type="dxa"/>
            <w:hideMark/>
          </w:tcPr>
          <w:p w14:paraId="1C481B3D"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Reconocimiento percibido en el trabajo</w:t>
            </w:r>
          </w:p>
        </w:tc>
        <w:tc>
          <w:tcPr>
            <w:tcW w:w="1276" w:type="dxa"/>
            <w:noWrap/>
            <w:hideMark/>
          </w:tcPr>
          <w:p w14:paraId="1549A810"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,748</w:t>
            </w:r>
            <w:r w:rsidRPr="00C42FA8">
              <w:rPr>
                <w:rFonts w:eastAsia="Times New Roman"/>
                <w:color w:val="000000"/>
                <w:sz w:val="20"/>
                <w:szCs w:val="20"/>
                <w:vertAlign w:val="superscript"/>
                <w:lang w:eastAsia="es-MX"/>
              </w:rPr>
              <w:t>**</w:t>
            </w:r>
          </w:p>
        </w:tc>
        <w:tc>
          <w:tcPr>
            <w:tcW w:w="1273" w:type="dxa"/>
            <w:noWrap/>
            <w:hideMark/>
          </w:tcPr>
          <w:p w14:paraId="45C12A6E"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,739</w:t>
            </w:r>
            <w:r w:rsidRPr="00C42FA8">
              <w:rPr>
                <w:rFonts w:eastAsia="Times New Roman"/>
                <w:color w:val="000000"/>
                <w:sz w:val="20"/>
                <w:szCs w:val="20"/>
                <w:vertAlign w:val="superscript"/>
                <w:lang w:eastAsia="es-MX"/>
              </w:rPr>
              <w:t>**</w:t>
            </w:r>
          </w:p>
        </w:tc>
        <w:tc>
          <w:tcPr>
            <w:tcW w:w="1275" w:type="dxa"/>
            <w:noWrap/>
            <w:hideMark/>
          </w:tcPr>
          <w:p w14:paraId="1E8595C7"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,813</w:t>
            </w:r>
            <w:r w:rsidRPr="00C42FA8">
              <w:rPr>
                <w:rFonts w:eastAsia="Times New Roman"/>
                <w:color w:val="000000"/>
                <w:sz w:val="20"/>
                <w:szCs w:val="20"/>
                <w:vertAlign w:val="superscript"/>
                <w:lang w:eastAsia="es-MX"/>
              </w:rPr>
              <w:t>**</w:t>
            </w:r>
          </w:p>
        </w:tc>
        <w:tc>
          <w:tcPr>
            <w:tcW w:w="1532" w:type="dxa"/>
            <w:noWrap/>
            <w:hideMark/>
          </w:tcPr>
          <w:p w14:paraId="05CFC8A4"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 </w:t>
            </w:r>
          </w:p>
        </w:tc>
      </w:tr>
      <w:tr w:rsidR="005140CF" w:rsidRPr="00C42FA8" w14:paraId="5F9CF7E2" w14:textId="77777777" w:rsidTr="00FC66DF">
        <w:trPr>
          <w:trHeight w:val="303"/>
        </w:trPr>
        <w:tc>
          <w:tcPr>
            <w:tcW w:w="3604" w:type="dxa"/>
            <w:hideMark/>
          </w:tcPr>
          <w:p w14:paraId="2E4BE521"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Deseo de participación en el trabajo</w:t>
            </w:r>
          </w:p>
        </w:tc>
        <w:tc>
          <w:tcPr>
            <w:tcW w:w="1276" w:type="dxa"/>
            <w:noWrap/>
            <w:hideMark/>
          </w:tcPr>
          <w:p w14:paraId="30A20119"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,911</w:t>
            </w:r>
            <w:r w:rsidRPr="00C42FA8">
              <w:rPr>
                <w:rFonts w:eastAsia="Times New Roman"/>
                <w:color w:val="000000"/>
                <w:sz w:val="20"/>
                <w:szCs w:val="20"/>
                <w:vertAlign w:val="superscript"/>
                <w:lang w:eastAsia="es-MX"/>
              </w:rPr>
              <w:t>**</w:t>
            </w:r>
          </w:p>
        </w:tc>
        <w:tc>
          <w:tcPr>
            <w:tcW w:w="1273" w:type="dxa"/>
            <w:noWrap/>
            <w:hideMark/>
          </w:tcPr>
          <w:p w14:paraId="5210FB51"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,886</w:t>
            </w:r>
            <w:r w:rsidRPr="00C42FA8">
              <w:rPr>
                <w:rFonts w:eastAsia="Times New Roman"/>
                <w:color w:val="000000"/>
                <w:sz w:val="20"/>
                <w:szCs w:val="20"/>
                <w:vertAlign w:val="superscript"/>
                <w:lang w:eastAsia="es-MX"/>
              </w:rPr>
              <w:t>**</w:t>
            </w:r>
          </w:p>
        </w:tc>
        <w:tc>
          <w:tcPr>
            <w:tcW w:w="1275" w:type="dxa"/>
            <w:noWrap/>
            <w:hideMark/>
          </w:tcPr>
          <w:p w14:paraId="70862718"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,895</w:t>
            </w:r>
            <w:r w:rsidRPr="00C42FA8">
              <w:rPr>
                <w:rFonts w:eastAsia="Times New Roman"/>
                <w:color w:val="000000"/>
                <w:sz w:val="20"/>
                <w:szCs w:val="20"/>
                <w:vertAlign w:val="superscript"/>
                <w:lang w:eastAsia="es-MX"/>
              </w:rPr>
              <w:t>**</w:t>
            </w:r>
          </w:p>
        </w:tc>
        <w:tc>
          <w:tcPr>
            <w:tcW w:w="1532" w:type="dxa"/>
            <w:noWrap/>
            <w:hideMark/>
          </w:tcPr>
          <w:p w14:paraId="6596A74C" w14:textId="77777777" w:rsidR="005140CF" w:rsidRPr="00C42FA8" w:rsidRDefault="005140CF" w:rsidP="00F12FAA">
            <w:pPr>
              <w:jc w:val="right"/>
              <w:rPr>
                <w:rFonts w:eastAsia="Times New Roman"/>
                <w:color w:val="000000"/>
                <w:sz w:val="20"/>
                <w:szCs w:val="20"/>
                <w:lang w:eastAsia="es-MX"/>
              </w:rPr>
            </w:pPr>
            <w:r w:rsidRPr="00C42FA8">
              <w:rPr>
                <w:rFonts w:eastAsia="Times New Roman"/>
                <w:color w:val="000000"/>
                <w:sz w:val="20"/>
                <w:szCs w:val="20"/>
                <w:lang w:eastAsia="es-MX"/>
              </w:rPr>
              <w:t>,867</w:t>
            </w:r>
            <w:r w:rsidRPr="00C42FA8">
              <w:rPr>
                <w:rFonts w:eastAsia="Times New Roman"/>
                <w:color w:val="000000"/>
                <w:sz w:val="20"/>
                <w:szCs w:val="20"/>
                <w:vertAlign w:val="superscript"/>
                <w:lang w:eastAsia="es-MX"/>
              </w:rPr>
              <w:t>**</w:t>
            </w:r>
          </w:p>
        </w:tc>
      </w:tr>
      <w:tr w:rsidR="005140CF" w:rsidRPr="00C42FA8" w14:paraId="291A2BA5" w14:textId="77777777" w:rsidTr="00FC66DF">
        <w:trPr>
          <w:trHeight w:val="303"/>
        </w:trPr>
        <w:tc>
          <w:tcPr>
            <w:tcW w:w="8960" w:type="dxa"/>
            <w:gridSpan w:val="5"/>
            <w:hideMark/>
          </w:tcPr>
          <w:p w14:paraId="23DE7ACF" w14:textId="77777777" w:rsidR="005140CF" w:rsidRPr="00C42FA8" w:rsidRDefault="005140CF" w:rsidP="00F12FAA">
            <w:pPr>
              <w:rPr>
                <w:rFonts w:eastAsia="Times New Roman"/>
                <w:color w:val="000000"/>
                <w:sz w:val="20"/>
                <w:szCs w:val="20"/>
                <w:lang w:eastAsia="es-MX"/>
              </w:rPr>
            </w:pPr>
            <w:r w:rsidRPr="00C42FA8">
              <w:rPr>
                <w:rFonts w:eastAsia="Times New Roman"/>
                <w:color w:val="000000"/>
                <w:sz w:val="20"/>
                <w:szCs w:val="20"/>
                <w:lang w:eastAsia="es-MX"/>
              </w:rPr>
              <w:t>**. La correlación es significativa en el nivel 0,01 (2 colas).</w:t>
            </w:r>
          </w:p>
        </w:tc>
      </w:tr>
    </w:tbl>
    <w:p w14:paraId="6C09279D" w14:textId="06BC4115" w:rsidR="005140CF" w:rsidRDefault="00C42FA8" w:rsidP="00027730">
      <w:pPr>
        <w:spacing w:line="360" w:lineRule="auto"/>
        <w:contextualSpacing/>
        <w:jc w:val="center"/>
      </w:pPr>
      <w:r w:rsidRPr="000167B2">
        <w:t>Fuente</w:t>
      </w:r>
      <w:r w:rsidR="00027730" w:rsidRPr="000167B2">
        <w:t>:</w:t>
      </w:r>
      <w:r w:rsidRPr="000167B2">
        <w:t xml:space="preserve"> Elaboración propia</w:t>
      </w:r>
    </w:p>
    <w:p w14:paraId="3641A799" w14:textId="41A435E4" w:rsidR="005140CF" w:rsidRPr="00C42FA8" w:rsidRDefault="00140A0E" w:rsidP="005D414A">
      <w:pPr>
        <w:autoSpaceDE w:val="0"/>
        <w:autoSpaceDN w:val="0"/>
        <w:adjustRightInd w:val="0"/>
        <w:spacing w:after="0" w:line="360" w:lineRule="auto"/>
        <w:ind w:firstLine="708"/>
        <w:contextualSpacing/>
        <w:jc w:val="both"/>
      </w:pPr>
      <w:r>
        <w:t>Pa</w:t>
      </w:r>
      <w:r w:rsidR="003C0177">
        <w:t>ra interpretar los datos de la T</w:t>
      </w:r>
      <w:r>
        <w:t>abla 4</w:t>
      </w:r>
      <w:r w:rsidR="005140CF" w:rsidRPr="00C42FA8">
        <w:t xml:space="preserve">, </w:t>
      </w:r>
      <w:r w:rsidR="00BB18CF" w:rsidRPr="00C42FA8">
        <w:t>se observa</w:t>
      </w:r>
      <w:r w:rsidR="005140CF" w:rsidRPr="00C42FA8">
        <w:t xml:space="preserve"> que el coeficiente de correlación de Pearson entre las dimensiones de la variable </w:t>
      </w:r>
      <w:r w:rsidR="00027730">
        <w:rPr>
          <w:rFonts w:eastAsia="Times New Roman"/>
          <w:bCs/>
          <w:i/>
          <w:color w:val="000000"/>
          <w:lang w:eastAsia="es-MX"/>
        </w:rPr>
        <w:t>b</w:t>
      </w:r>
      <w:r w:rsidR="005140CF" w:rsidRPr="00027730">
        <w:rPr>
          <w:rFonts w:eastAsia="Times New Roman"/>
          <w:bCs/>
          <w:i/>
          <w:color w:val="000000"/>
          <w:lang w:eastAsia="es-MX"/>
        </w:rPr>
        <w:t>ienestar psicológico en el trabajo</w:t>
      </w:r>
      <w:r w:rsidR="005140CF" w:rsidRPr="00C42FA8">
        <w:t xml:space="preserve"> es una correlación alta, ya que </w:t>
      </w:r>
      <w:r w:rsidR="00731944">
        <w:t xml:space="preserve">el valor es cercano a </w:t>
      </w:r>
      <w:r w:rsidR="005140CF" w:rsidRPr="00C42FA8">
        <w:t>1.</w:t>
      </w:r>
    </w:p>
    <w:p w14:paraId="0FC77246" w14:textId="77777777" w:rsidR="007E4B66" w:rsidRPr="00C42FA8" w:rsidRDefault="007E4B66" w:rsidP="00666F95">
      <w:pPr>
        <w:autoSpaceDE w:val="0"/>
        <w:autoSpaceDN w:val="0"/>
        <w:adjustRightInd w:val="0"/>
        <w:spacing w:after="0" w:line="240" w:lineRule="auto"/>
        <w:rPr>
          <w:color w:val="000000"/>
        </w:rPr>
      </w:pPr>
    </w:p>
    <w:p w14:paraId="7177AB2A" w14:textId="335E3DA5" w:rsidR="006C46A3" w:rsidRPr="002F7B6C" w:rsidRDefault="00253D97" w:rsidP="002F7B6C">
      <w:pPr>
        <w:pStyle w:val="Ttulo1"/>
        <w:jc w:val="center"/>
        <w:rPr>
          <w:rFonts w:eastAsia="Times New Roman"/>
          <w:bCs w:val="0"/>
          <w:color w:val="auto"/>
          <w:lang w:eastAsia="es-MX" w:bidi="es-MX"/>
        </w:rPr>
      </w:pPr>
      <w:r>
        <w:rPr>
          <w:rFonts w:eastAsia="Times New Roman"/>
          <w:bCs w:val="0"/>
          <w:color w:val="auto"/>
          <w:lang w:eastAsia="es-MX" w:bidi="es-MX"/>
        </w:rPr>
        <w:br/>
      </w:r>
      <w:r w:rsidR="00C42FA8" w:rsidRPr="002F7B6C">
        <w:rPr>
          <w:rFonts w:eastAsia="Times New Roman"/>
          <w:bCs w:val="0"/>
          <w:color w:val="auto"/>
          <w:lang w:eastAsia="es-MX" w:bidi="es-MX"/>
        </w:rPr>
        <w:t>Discusión</w:t>
      </w:r>
    </w:p>
    <w:p w14:paraId="16EE4BE4" w14:textId="77777777" w:rsidR="00AE49EC" w:rsidRPr="00C42FA8" w:rsidRDefault="006C46A3" w:rsidP="0040615D">
      <w:pPr>
        <w:spacing w:after="0" w:line="360" w:lineRule="auto"/>
        <w:ind w:firstLine="708"/>
        <w:jc w:val="both"/>
      </w:pPr>
      <w:r w:rsidRPr="00C42FA8">
        <w:t xml:space="preserve">Se le aplicó a la encuesta el </w:t>
      </w:r>
      <w:r w:rsidR="00D645C0" w:rsidRPr="00C42FA8">
        <w:t xml:space="preserve">coeficiente </w:t>
      </w:r>
      <w:r w:rsidR="00731944">
        <w:t xml:space="preserve">de </w:t>
      </w:r>
      <w:r w:rsidR="00027730">
        <w:t>a</w:t>
      </w:r>
      <w:r w:rsidR="00D645C0" w:rsidRPr="00C42FA8">
        <w:t>lfa</w:t>
      </w:r>
      <w:r w:rsidRPr="00C42FA8">
        <w:t xml:space="preserve"> de Cronbach</w:t>
      </w:r>
      <w:r w:rsidR="00027730">
        <w:t>,</w:t>
      </w:r>
      <w:r w:rsidRPr="00C42FA8">
        <w:t xml:space="preserve"> </w:t>
      </w:r>
      <w:r w:rsidR="00AE49EC" w:rsidRPr="00C42FA8">
        <w:t xml:space="preserve">el </w:t>
      </w:r>
      <w:r w:rsidR="00D645C0" w:rsidRPr="00C42FA8">
        <w:t>cual ha</w:t>
      </w:r>
      <w:r w:rsidRPr="00C42FA8">
        <w:t xml:space="preserve"> sido históricamente utilizado para evaluar las escalas de medida. </w:t>
      </w:r>
      <w:r w:rsidRPr="00CF52C3">
        <w:t xml:space="preserve">Valores </w:t>
      </w:r>
      <w:r w:rsidR="00027730">
        <w:t>elevados</w:t>
      </w:r>
      <w:r w:rsidRPr="00CF52C3">
        <w:t xml:space="preserve"> de este coeficiente indican, en principio, una alta fi</w:t>
      </w:r>
      <w:r w:rsidR="00027730">
        <w:t>abilidad de la escala de medida, aunque vale destacar que este</w:t>
      </w:r>
      <w:r w:rsidRPr="00CF52C3">
        <w:t xml:space="preserve"> </w:t>
      </w:r>
      <w:r w:rsidR="00027730">
        <w:t>por sí</w:t>
      </w:r>
      <w:r w:rsidR="00173B57" w:rsidRPr="00CF52C3">
        <w:t xml:space="preserve"> solo </w:t>
      </w:r>
      <w:r w:rsidR="00027730" w:rsidRPr="00CF52C3">
        <w:t xml:space="preserve">no </w:t>
      </w:r>
      <w:r w:rsidR="00027730">
        <w:t xml:space="preserve">refiere </w:t>
      </w:r>
      <w:r w:rsidR="00173B57" w:rsidRPr="00CF52C3">
        <w:t>la validez de las escalas utilizadas</w:t>
      </w:r>
      <w:r w:rsidR="00027730">
        <w:t>.</w:t>
      </w:r>
      <w:r w:rsidRPr="00CF52C3">
        <w:t xml:space="preserve"> </w:t>
      </w:r>
      <w:r w:rsidR="00027730">
        <w:t>P</w:t>
      </w:r>
      <w:r w:rsidR="00AE49EC" w:rsidRPr="00CF52C3">
        <w:t>or ello</w:t>
      </w:r>
      <w:r w:rsidR="00027730">
        <w:t>,</w:t>
      </w:r>
      <w:r w:rsidR="00AE49EC" w:rsidRPr="00CF52C3">
        <w:t xml:space="preserve"> cada variable está </w:t>
      </w:r>
      <w:r w:rsidR="00731944" w:rsidRPr="00CF52C3">
        <w:t>acreditada</w:t>
      </w:r>
      <w:r w:rsidR="00AE49EC" w:rsidRPr="00CF52C3">
        <w:t xml:space="preserve"> </w:t>
      </w:r>
      <w:r w:rsidR="00CF52C3" w:rsidRPr="00CF52C3">
        <w:t xml:space="preserve">por la </w:t>
      </w:r>
      <w:r w:rsidR="00AE49EC" w:rsidRPr="00CF52C3">
        <w:t xml:space="preserve">validez que han puesto a prueba los autores </w:t>
      </w:r>
      <w:r w:rsidR="00CF52C3">
        <w:t>de quienes se tomaron los instrumentos</w:t>
      </w:r>
      <w:r w:rsidR="00731944">
        <w:t>, los cuales</w:t>
      </w:r>
      <w:r w:rsidR="00CF52C3">
        <w:t xml:space="preserve"> han</w:t>
      </w:r>
      <w:r w:rsidR="00AE49EC" w:rsidRPr="00CF52C3">
        <w:t xml:space="preserve"> realizado </w:t>
      </w:r>
      <w:r w:rsidR="00CF52C3">
        <w:t xml:space="preserve">estudios que </w:t>
      </w:r>
      <w:r w:rsidR="00027730">
        <w:t>sirvieron de sustento para</w:t>
      </w:r>
      <w:r w:rsidR="00CF52C3">
        <w:t xml:space="preserve"> investigaciones posteriores.</w:t>
      </w:r>
      <w:r w:rsidRPr="00C42FA8">
        <w:t xml:space="preserve"> </w:t>
      </w:r>
      <w:r w:rsidR="00AE49EC" w:rsidRPr="00C42FA8">
        <w:t xml:space="preserve">De </w:t>
      </w:r>
      <w:r w:rsidR="006E1CEB">
        <w:t xml:space="preserve">igual </w:t>
      </w:r>
      <w:r w:rsidR="00AE49EC" w:rsidRPr="00C42FA8">
        <w:t>manera</w:t>
      </w:r>
      <w:r w:rsidR="006E1CEB">
        <w:t>,</w:t>
      </w:r>
      <w:r w:rsidR="00AE49EC" w:rsidRPr="00C42FA8">
        <w:t xml:space="preserve"> las correlaciones presentadas se realizan para </w:t>
      </w:r>
      <w:r w:rsidR="00AE49EC" w:rsidRPr="00C42FA8">
        <w:lastRenderedPageBreak/>
        <w:t>enfatizar si es verdad que en las hipótesis planteadas existe un rango de compatibilidad para promover futuros estudios bajo el mismo tenor que se plantea en la investigación.</w:t>
      </w:r>
    </w:p>
    <w:p w14:paraId="4EE23761" w14:textId="77777777" w:rsidR="00AE49EC" w:rsidRPr="00C42FA8" w:rsidRDefault="006E1CEB" w:rsidP="0040615D">
      <w:pPr>
        <w:spacing w:after="0" w:line="360" w:lineRule="auto"/>
        <w:ind w:firstLine="708"/>
        <w:jc w:val="both"/>
      </w:pPr>
      <w:r>
        <w:t>Ahora bien, como ya se mencionó, e</w:t>
      </w:r>
      <w:r w:rsidR="00AE49EC" w:rsidRPr="00C42FA8">
        <w:t>n la primera p</w:t>
      </w:r>
      <w:r>
        <w:t>arte del instrumento se analizaron</w:t>
      </w:r>
      <w:r w:rsidR="00AE49EC" w:rsidRPr="00C42FA8">
        <w:t xml:space="preserve"> las variables sociodemográficas</w:t>
      </w:r>
      <w:r>
        <w:t xml:space="preserve">, lo cual arrojó unos datos que coincidieron con lo </w:t>
      </w:r>
      <w:r w:rsidR="00AA2D63" w:rsidRPr="00C42FA8">
        <w:t>señala</w:t>
      </w:r>
      <w:r>
        <w:t>do por</w:t>
      </w:r>
      <w:r w:rsidR="00AE49EC" w:rsidRPr="00C42FA8">
        <w:t xml:space="preserve"> </w:t>
      </w:r>
      <w:r>
        <w:t xml:space="preserve">el </w:t>
      </w:r>
      <w:r w:rsidR="00AE49EC" w:rsidRPr="00C42FA8">
        <w:t>I</w:t>
      </w:r>
      <w:r w:rsidRPr="00C42FA8">
        <w:t>negi</w:t>
      </w:r>
      <w:r w:rsidR="00AE49EC" w:rsidRPr="00C42FA8">
        <w:t xml:space="preserve"> (2018)</w:t>
      </w:r>
      <w:r>
        <w:t xml:space="preserve">, institución que indica que </w:t>
      </w:r>
      <w:r w:rsidR="00AE49EC" w:rsidRPr="00C42FA8">
        <w:t>la industria en México está comp</w:t>
      </w:r>
      <w:r>
        <w:t>uesta en su mayoría por hombres.</w:t>
      </w:r>
      <w:r w:rsidR="00AE49EC" w:rsidRPr="00C42FA8">
        <w:t xml:space="preserve"> </w:t>
      </w:r>
      <w:r>
        <w:t>E</w:t>
      </w:r>
      <w:r w:rsidR="00AE49EC" w:rsidRPr="00C42FA8">
        <w:t xml:space="preserve">n </w:t>
      </w:r>
      <w:r>
        <w:t>la presente indagación, además,</w:t>
      </w:r>
      <w:r w:rsidR="00B4315C">
        <w:t xml:space="preserve"> </w:t>
      </w:r>
      <w:r>
        <w:t xml:space="preserve">se cumplió </w:t>
      </w:r>
      <w:r w:rsidR="00AE49EC" w:rsidRPr="00C42FA8">
        <w:t>la observación del Plan Estatal de Desarrollo para</w:t>
      </w:r>
      <w:r w:rsidR="00AA2D63" w:rsidRPr="00C42FA8">
        <w:t xml:space="preserve"> Durango 2016-2022, donde </w:t>
      </w:r>
      <w:r>
        <w:t xml:space="preserve">se señala que </w:t>
      </w:r>
      <w:r w:rsidR="00AA2D63" w:rsidRPr="00C42FA8">
        <w:t>en</w:t>
      </w:r>
      <w:r w:rsidR="00AE49EC" w:rsidRPr="00C42FA8">
        <w:t xml:space="preserve"> </w:t>
      </w:r>
      <w:r>
        <w:t>esta</w:t>
      </w:r>
      <w:r w:rsidR="00AE49EC" w:rsidRPr="00C42FA8">
        <w:t xml:space="preserve"> entidad federativa las industrias están compuestas </w:t>
      </w:r>
      <w:r>
        <w:t xml:space="preserve">principalmente </w:t>
      </w:r>
      <w:r w:rsidR="00AE49EC" w:rsidRPr="00C42FA8">
        <w:t xml:space="preserve">por personal </w:t>
      </w:r>
      <w:r>
        <w:t>con</w:t>
      </w:r>
      <w:r w:rsidR="00AE49EC" w:rsidRPr="00C42FA8">
        <w:t xml:space="preserve"> estudios básicos, bachillerato </w:t>
      </w:r>
      <w:r>
        <w:t xml:space="preserve">o técnicos. Es decir, los trabajadores no suelen haber cursado </w:t>
      </w:r>
      <w:r w:rsidR="00AE49EC" w:rsidRPr="00C42FA8">
        <w:t>la educación superior o la especialización profesional como determinante para l</w:t>
      </w:r>
      <w:r>
        <w:t>a capacitación y el desarrollo.</w:t>
      </w:r>
      <w:r w:rsidR="00AA2D63" w:rsidRPr="00C42FA8">
        <w:t xml:space="preserve"> </w:t>
      </w:r>
      <w:r>
        <w:t>A</w:t>
      </w:r>
      <w:r w:rsidR="00AA2D63" w:rsidRPr="00C42FA8">
        <w:t>unado a ello</w:t>
      </w:r>
      <w:r>
        <w:t>,</w:t>
      </w:r>
      <w:r w:rsidR="00AA2D63" w:rsidRPr="00C42FA8">
        <w:t xml:space="preserve"> la edad promedio es de 33 años, </w:t>
      </w:r>
      <w:r w:rsidR="004054A7">
        <w:t xml:space="preserve">lo que indica que </w:t>
      </w:r>
      <w:r w:rsidR="00AA2D63" w:rsidRPr="00C42FA8">
        <w:t xml:space="preserve">el personal no se encuentra en el promedio de edad para </w:t>
      </w:r>
      <w:r w:rsidR="004054A7">
        <w:t>cursar</w:t>
      </w:r>
      <w:r w:rsidR="00AA2D63" w:rsidRPr="00C42FA8">
        <w:t xml:space="preserve"> los estudios</w:t>
      </w:r>
      <w:r w:rsidR="0040615D" w:rsidRPr="00C42FA8">
        <w:t xml:space="preserve"> prevalecientes en la población de la industria analizada.</w:t>
      </w:r>
    </w:p>
    <w:p w14:paraId="57735E00" w14:textId="77777777" w:rsidR="0040615D" w:rsidRDefault="004054A7" w:rsidP="004054A7">
      <w:pPr>
        <w:spacing w:after="0" w:line="360" w:lineRule="auto"/>
        <w:ind w:firstLine="708"/>
        <w:jc w:val="both"/>
      </w:pPr>
      <w:r>
        <w:t xml:space="preserve">Por otra parte, con los resultados de </w:t>
      </w:r>
      <w:r w:rsidR="00AA2D63" w:rsidRPr="00C42FA8">
        <w:t xml:space="preserve">la segunda </w:t>
      </w:r>
      <w:r>
        <w:t>de este trabajo</w:t>
      </w:r>
      <w:r w:rsidR="00AA2D63" w:rsidRPr="00C42FA8">
        <w:t xml:space="preserve"> </w:t>
      </w:r>
      <w:r>
        <w:t>—</w:t>
      </w:r>
      <w:r w:rsidR="00AA2D63" w:rsidRPr="00C42FA8">
        <w:t>referente al liderazgo transformacional</w:t>
      </w:r>
      <w:r>
        <w:t>—,</w:t>
      </w:r>
      <w:r w:rsidR="00AA2D63" w:rsidRPr="00C42FA8">
        <w:t xml:space="preserve"> s</w:t>
      </w:r>
      <w:r w:rsidR="006C46A3" w:rsidRPr="00C42FA8">
        <w:t xml:space="preserve">e puede </w:t>
      </w:r>
      <w:r>
        <w:t xml:space="preserve">afirmar </w:t>
      </w:r>
      <w:r w:rsidR="0040615D" w:rsidRPr="00C42FA8">
        <w:t>que</w:t>
      </w:r>
      <w:r w:rsidR="006C46A3" w:rsidRPr="00C42FA8">
        <w:t xml:space="preserve"> </w:t>
      </w:r>
      <w:r w:rsidR="00AA2D63" w:rsidRPr="00C42FA8">
        <w:t>el líder motiva y toma en cuenta a sus trabajadores para realizar sus funciones</w:t>
      </w:r>
      <w:r>
        <w:t xml:space="preserve">, tal como lo han apuntado </w:t>
      </w:r>
      <w:r w:rsidR="00AA2D63" w:rsidRPr="00C42FA8">
        <w:rPr>
          <w:rFonts w:eastAsia="AdvTimes"/>
        </w:rPr>
        <w:t>Podsakoff</w:t>
      </w:r>
      <w:r w:rsidR="000679BA">
        <w:rPr>
          <w:rFonts w:eastAsia="AdvTimes"/>
        </w:rPr>
        <w:t xml:space="preserve"> </w:t>
      </w:r>
      <w:r w:rsidR="000679BA" w:rsidRPr="000679BA">
        <w:rPr>
          <w:rFonts w:eastAsia="AdvTimes"/>
          <w:i/>
        </w:rPr>
        <w:t>e</w:t>
      </w:r>
      <w:r w:rsidR="000679BA">
        <w:rPr>
          <w:rFonts w:eastAsia="AdvTimes"/>
          <w:i/>
        </w:rPr>
        <w:t>t</w:t>
      </w:r>
      <w:r w:rsidR="000679BA" w:rsidRPr="000679BA">
        <w:rPr>
          <w:rFonts w:eastAsia="AdvTimes"/>
          <w:i/>
        </w:rPr>
        <w:t xml:space="preserve"> al</w:t>
      </w:r>
      <w:r w:rsidR="000679BA">
        <w:rPr>
          <w:rFonts w:eastAsia="AdvTimes"/>
        </w:rPr>
        <w:t>. (1990</w:t>
      </w:r>
      <w:r w:rsidR="00AA2D63" w:rsidRPr="00C42FA8">
        <w:rPr>
          <w:rFonts w:eastAsia="AdvTimes"/>
        </w:rPr>
        <w:t xml:space="preserve">), así como </w:t>
      </w:r>
      <w:r w:rsidR="00301323" w:rsidRPr="00C42FA8">
        <w:rPr>
          <w:rFonts w:eastAsia="AdvTimes"/>
        </w:rPr>
        <w:t>Avolio y Bass</w:t>
      </w:r>
      <w:r w:rsidR="00AA2D63" w:rsidRPr="00C42FA8">
        <w:rPr>
          <w:rFonts w:eastAsia="AdvTimes"/>
        </w:rPr>
        <w:t xml:space="preserve"> (200</w:t>
      </w:r>
      <w:r w:rsidR="00301323" w:rsidRPr="00C42FA8">
        <w:rPr>
          <w:rFonts w:eastAsia="AdvTimes"/>
        </w:rPr>
        <w:t>2</w:t>
      </w:r>
      <w:r w:rsidR="00AA2D63" w:rsidRPr="00C42FA8">
        <w:rPr>
          <w:rFonts w:eastAsia="AdvTimes"/>
        </w:rPr>
        <w:t>).</w:t>
      </w:r>
      <w:r>
        <w:rPr>
          <w:rFonts w:eastAsia="AdvTimes"/>
        </w:rPr>
        <w:t xml:space="preserve"> En otras palabras, s</w:t>
      </w:r>
      <w:r w:rsidR="00AA2D63" w:rsidRPr="00C42FA8">
        <w:t>e observa que el liderazgo transformacional</w:t>
      </w:r>
      <w:r w:rsidR="006C46A3" w:rsidRPr="00C42FA8">
        <w:t xml:space="preserve"> </w:t>
      </w:r>
      <w:r w:rsidR="00AA2D63" w:rsidRPr="00C42FA8">
        <w:t xml:space="preserve">tiene </w:t>
      </w:r>
      <w:r w:rsidR="006C46A3" w:rsidRPr="00C42FA8">
        <w:t xml:space="preserve">una </w:t>
      </w:r>
      <w:r w:rsidR="00685E6E">
        <w:t>correlación aceptable y significativa con la confianza en el líder.</w:t>
      </w:r>
      <w:r>
        <w:t xml:space="preserve"> Igualmente, existe </w:t>
      </w:r>
      <w:r w:rsidR="00AA2D63" w:rsidRPr="00C42FA8">
        <w:t xml:space="preserve">una correlación </w:t>
      </w:r>
      <w:r w:rsidR="00685E6E">
        <w:t>aceptable</w:t>
      </w:r>
      <w:r w:rsidR="00AA2D63" w:rsidRPr="00C42FA8">
        <w:t xml:space="preserve"> entre el liderazgo transformacional y el bienestar psicológico en el trabajo, lo cual es positivo</w:t>
      </w:r>
      <w:r>
        <w:t>,</w:t>
      </w:r>
      <w:r w:rsidR="00AA2D63" w:rsidRPr="00C42FA8">
        <w:t xml:space="preserve"> ya que </w:t>
      </w:r>
      <w:r>
        <w:t>—</w:t>
      </w:r>
      <w:r w:rsidR="00AA2D63" w:rsidRPr="00C42FA8">
        <w:t xml:space="preserve">como mencionan </w:t>
      </w:r>
      <w:r w:rsidR="0040615D" w:rsidRPr="00C42FA8">
        <w:t>Perilla y Gómez (2017)</w:t>
      </w:r>
      <w:r>
        <w:t>—</w:t>
      </w:r>
      <w:r w:rsidR="0040615D" w:rsidRPr="00C42FA8">
        <w:t xml:space="preserve"> el liderazgo transformacional puede afectar especialmente en el bienestar afectivo de los empleados y en la prevención de trastornos físicos asociados a la salud. </w:t>
      </w:r>
    </w:p>
    <w:p w14:paraId="7FEA1710" w14:textId="77777777" w:rsidR="00C85F23" w:rsidRPr="00C42FA8" w:rsidRDefault="004054A7" w:rsidP="0040615D">
      <w:pPr>
        <w:autoSpaceDE w:val="0"/>
        <w:autoSpaceDN w:val="0"/>
        <w:adjustRightInd w:val="0"/>
        <w:spacing w:after="0" w:line="360" w:lineRule="auto"/>
        <w:ind w:firstLine="708"/>
        <w:jc w:val="both"/>
      </w:pPr>
      <w:r>
        <w:t>Asimismo, c</w:t>
      </w:r>
      <w:r w:rsidR="00C85F23" w:rsidRPr="00C42FA8">
        <w:t xml:space="preserve">abe destacar que el hecho </w:t>
      </w:r>
      <w:r>
        <w:t xml:space="preserve">de </w:t>
      </w:r>
      <w:r w:rsidR="00C85F23" w:rsidRPr="00C42FA8">
        <w:t xml:space="preserve">que aparezcan las tres variables enlazadas </w:t>
      </w:r>
      <w:r>
        <w:t>(es decir, una</w:t>
      </w:r>
      <w:r w:rsidR="00685E6E">
        <w:t xml:space="preserve"> correlación aceptable y significativa</w:t>
      </w:r>
      <w:r w:rsidR="00C85F23" w:rsidRPr="00C42FA8">
        <w:t xml:space="preserve"> entre el liderazgo transformacional y la confianza con el líder, </w:t>
      </w:r>
      <w:r w:rsidR="00685E6E">
        <w:t xml:space="preserve">así como </w:t>
      </w:r>
      <w:r>
        <w:t>una</w:t>
      </w:r>
      <w:r w:rsidR="00685E6E">
        <w:t xml:space="preserve"> correlación aceptable y significativa</w:t>
      </w:r>
      <w:r w:rsidR="00C85F23" w:rsidRPr="00C42FA8">
        <w:t xml:space="preserve"> entre el liderazgo transformacional y el bienestar psicológico en el trabajo</w:t>
      </w:r>
      <w:r>
        <w:t xml:space="preserve">) invita a </w:t>
      </w:r>
      <w:r w:rsidR="009605DE">
        <w:t xml:space="preserve">desarrollar más estudios en </w:t>
      </w:r>
      <w:r w:rsidR="00C85F23" w:rsidRPr="00C42FA8">
        <w:t>este tipo de empresas</w:t>
      </w:r>
      <w:r w:rsidR="009605DE">
        <w:t>, pues de</w:t>
      </w:r>
      <w:r w:rsidR="00B4315C">
        <w:t xml:space="preserve"> </w:t>
      </w:r>
      <w:r w:rsidR="009605DE">
        <w:t xml:space="preserve">esa manera se puede concluir </w:t>
      </w:r>
      <w:r w:rsidR="00C85F23" w:rsidRPr="00C42FA8">
        <w:t xml:space="preserve">si </w:t>
      </w:r>
      <w:r w:rsidR="009605DE">
        <w:t xml:space="preserve">esta es </w:t>
      </w:r>
      <w:r w:rsidR="00C85F23" w:rsidRPr="00C42FA8">
        <w:t xml:space="preserve">una fortaleza para la </w:t>
      </w:r>
      <w:r w:rsidR="00707273" w:rsidRPr="00C42FA8">
        <w:t>supervivencia</w:t>
      </w:r>
      <w:r w:rsidR="00C85F23" w:rsidRPr="00C42FA8">
        <w:t xml:space="preserve"> y el crecimiento </w:t>
      </w:r>
      <w:r w:rsidR="009605DE">
        <w:t>d</w:t>
      </w:r>
      <w:r w:rsidR="00C85F23" w:rsidRPr="00C42FA8">
        <w:t xml:space="preserve">el negocio. </w:t>
      </w:r>
    </w:p>
    <w:p w14:paraId="5283C4AF" w14:textId="77777777" w:rsidR="00C85F23" w:rsidRPr="00C42FA8" w:rsidRDefault="00C85F23" w:rsidP="0040615D">
      <w:pPr>
        <w:autoSpaceDE w:val="0"/>
        <w:autoSpaceDN w:val="0"/>
        <w:adjustRightInd w:val="0"/>
        <w:spacing w:after="0" w:line="360" w:lineRule="auto"/>
        <w:ind w:firstLine="708"/>
        <w:jc w:val="both"/>
      </w:pPr>
      <w:r w:rsidRPr="00C42FA8">
        <w:t>Anteriormente</w:t>
      </w:r>
      <w:r w:rsidR="009605DE">
        <w:t>,</w:t>
      </w:r>
      <w:r w:rsidRPr="00C42FA8">
        <w:t xml:space="preserve"> se mencion</w:t>
      </w:r>
      <w:r w:rsidR="009605DE">
        <w:t>ó</w:t>
      </w:r>
      <w:r w:rsidRPr="00C42FA8">
        <w:t xml:space="preserve"> que la pequeña industria </w:t>
      </w:r>
      <w:r w:rsidR="009605DE">
        <w:t xml:space="preserve">objeto de esta investigación pasó (en un periodo de </w:t>
      </w:r>
      <w:r w:rsidRPr="00C42FA8">
        <w:t>7 años</w:t>
      </w:r>
      <w:r w:rsidR="009605DE">
        <w:t>)</w:t>
      </w:r>
      <w:r w:rsidRPr="00C42FA8">
        <w:t xml:space="preserve"> de 2 a 26 trabajadores,</w:t>
      </w:r>
      <w:r w:rsidR="00707273">
        <w:t xml:space="preserve"> </w:t>
      </w:r>
      <w:r w:rsidR="009605DE">
        <w:t xml:space="preserve">es decir, </w:t>
      </w:r>
      <w:r w:rsidR="00707273">
        <w:t>de micro</w:t>
      </w:r>
      <w:r w:rsidR="009605DE">
        <w:t>empresa</w:t>
      </w:r>
      <w:r w:rsidR="00707273">
        <w:t xml:space="preserve"> a pequeña empresa,</w:t>
      </w:r>
      <w:r w:rsidRPr="00C42FA8">
        <w:t xml:space="preserve"> </w:t>
      </w:r>
      <w:r w:rsidR="009605DE">
        <w:t>lo cual demuestra</w:t>
      </w:r>
      <w:r w:rsidRPr="00C42FA8">
        <w:t xml:space="preserve"> un </w:t>
      </w:r>
      <w:r w:rsidR="009605DE">
        <w:t xml:space="preserve">notable </w:t>
      </w:r>
      <w:r w:rsidRPr="00C42FA8">
        <w:t>crecimiento</w:t>
      </w:r>
      <w:r w:rsidR="009605DE">
        <w:t xml:space="preserve"> en cuanto a su economía y </w:t>
      </w:r>
      <w:r w:rsidRPr="00C42FA8">
        <w:t>capital humano.</w:t>
      </w:r>
    </w:p>
    <w:p w14:paraId="241D61CA" w14:textId="77777777" w:rsidR="00C85F23" w:rsidRPr="00C42FA8" w:rsidRDefault="00C85F23" w:rsidP="007074BE">
      <w:pPr>
        <w:autoSpaceDE w:val="0"/>
        <w:autoSpaceDN w:val="0"/>
        <w:adjustRightInd w:val="0"/>
        <w:spacing w:after="0" w:line="360" w:lineRule="auto"/>
        <w:ind w:firstLine="708"/>
        <w:jc w:val="both"/>
      </w:pPr>
      <w:r w:rsidRPr="00C42FA8">
        <w:lastRenderedPageBreak/>
        <w:t>Por último</w:t>
      </w:r>
      <w:r w:rsidR="009605DE">
        <w:t>,</w:t>
      </w:r>
      <w:r w:rsidRPr="00C42FA8">
        <w:t xml:space="preserve"> en lo </w:t>
      </w:r>
      <w:r w:rsidR="009605DE">
        <w:t xml:space="preserve">concerniente </w:t>
      </w:r>
      <w:r w:rsidRPr="00C42FA8">
        <w:t xml:space="preserve">a la variable del bienestar psicológico en el trabajo, se puede notar una evaluación positiva general, </w:t>
      </w:r>
      <w:r w:rsidR="009605DE">
        <w:t xml:space="preserve">lo que refleja un buen ambiente laboral. En este sentido, se puede afirmar que </w:t>
      </w:r>
      <w:r w:rsidRPr="00C42FA8">
        <w:t xml:space="preserve">los empleados </w:t>
      </w:r>
      <w:r w:rsidR="009605DE">
        <w:t>—</w:t>
      </w:r>
      <w:r w:rsidRPr="00C42FA8">
        <w:t>aunque en su mayoría operativos</w:t>
      </w:r>
      <w:r w:rsidR="009605DE">
        <w:t>—</w:t>
      </w:r>
      <w:r w:rsidRPr="00C42FA8">
        <w:t xml:space="preserve"> tienen un sentimiento positivo </w:t>
      </w:r>
      <w:r w:rsidR="00D645C0" w:rsidRPr="00C42FA8">
        <w:t>en su ámbito laboral</w:t>
      </w:r>
      <w:r w:rsidR="009605DE">
        <w:t xml:space="preserve">. De hecho, </w:t>
      </w:r>
      <w:r w:rsidRPr="00C42FA8">
        <w:t xml:space="preserve">al realizar las correlaciones entre las dimensiones propias </w:t>
      </w:r>
      <w:r w:rsidR="009605DE">
        <w:t>de</w:t>
      </w:r>
      <w:r w:rsidRPr="00C42FA8">
        <w:t xml:space="preserve"> la variable</w:t>
      </w:r>
      <w:r w:rsidR="009605DE">
        <w:t>,</w:t>
      </w:r>
      <w:r w:rsidRPr="00C42FA8">
        <w:t xml:space="preserve"> se </w:t>
      </w:r>
      <w:r w:rsidR="009605DE">
        <w:t xml:space="preserve">observó </w:t>
      </w:r>
      <w:r w:rsidRPr="00C42FA8">
        <w:t xml:space="preserve">que </w:t>
      </w:r>
      <w:r w:rsidR="007074BE" w:rsidRPr="00C42FA8">
        <w:t>los trabajadores</w:t>
      </w:r>
      <w:r w:rsidR="007074BE">
        <w:t xml:space="preserve"> mantienen un elevado </w:t>
      </w:r>
      <w:r w:rsidR="007074BE" w:rsidRPr="00C42FA8">
        <w:t>deseo de participación</w:t>
      </w:r>
      <w:r w:rsidR="007074BE">
        <w:t xml:space="preserve"> en las labores, así como un </w:t>
      </w:r>
      <w:r w:rsidRPr="00C42FA8">
        <w:t xml:space="preserve">sentimiento de competencia y prosperidad laboral, </w:t>
      </w:r>
      <w:r w:rsidR="007074BE">
        <w:t xml:space="preserve">aspectos </w:t>
      </w:r>
      <w:r w:rsidR="00707273">
        <w:t xml:space="preserve">que </w:t>
      </w:r>
      <w:r w:rsidRPr="00C42FA8">
        <w:t>buscan</w:t>
      </w:r>
      <w:r w:rsidR="00707273">
        <w:t xml:space="preserve"> satisfacer</w:t>
      </w:r>
      <w:r w:rsidRPr="00C42FA8">
        <w:t xml:space="preserve"> por encima de las otras dimensiones no menos valoradas.</w:t>
      </w:r>
    </w:p>
    <w:p w14:paraId="163D51A9" w14:textId="77777777" w:rsidR="001D3352" w:rsidRPr="00C42FA8" w:rsidRDefault="001D3352" w:rsidP="00B5032B">
      <w:pPr>
        <w:autoSpaceDE w:val="0"/>
        <w:autoSpaceDN w:val="0"/>
        <w:adjustRightInd w:val="0"/>
        <w:spacing w:after="0" w:line="240" w:lineRule="auto"/>
        <w:jc w:val="both"/>
      </w:pPr>
    </w:p>
    <w:p w14:paraId="49727A9D" w14:textId="77777777" w:rsidR="00D645C0" w:rsidRPr="002F7B6C" w:rsidRDefault="00D645C0" w:rsidP="002F7B6C">
      <w:pPr>
        <w:pStyle w:val="Ttulo1"/>
        <w:jc w:val="center"/>
        <w:rPr>
          <w:rFonts w:eastAsia="Times New Roman"/>
          <w:bCs w:val="0"/>
          <w:color w:val="auto"/>
          <w:lang w:eastAsia="es-MX" w:bidi="es-MX"/>
        </w:rPr>
      </w:pPr>
      <w:r w:rsidRPr="002F7B6C">
        <w:rPr>
          <w:rFonts w:eastAsia="Times New Roman"/>
          <w:bCs w:val="0"/>
          <w:color w:val="auto"/>
          <w:lang w:eastAsia="es-MX" w:bidi="es-MX"/>
        </w:rPr>
        <w:t>Conclusiones</w:t>
      </w:r>
    </w:p>
    <w:p w14:paraId="47D6B80B" w14:textId="77777777" w:rsidR="00D90682" w:rsidRPr="00C42FA8" w:rsidRDefault="00D645C0" w:rsidP="007074BE">
      <w:pPr>
        <w:autoSpaceDE w:val="0"/>
        <w:autoSpaceDN w:val="0"/>
        <w:adjustRightInd w:val="0"/>
        <w:spacing w:after="0" w:line="360" w:lineRule="auto"/>
        <w:jc w:val="both"/>
      </w:pPr>
      <w:r w:rsidRPr="00C42FA8">
        <w:tab/>
        <w:t xml:space="preserve">Además de las </w:t>
      </w:r>
      <w:r w:rsidR="001D4AE9">
        <w:t>disquisiciones</w:t>
      </w:r>
      <w:r w:rsidRPr="00C42FA8">
        <w:t xml:space="preserve"> teóricas de la investigación propuesta que destacan la relevancia del proceso de liderazgo en el bienestar psicológico de los trabajadores, también se puede </w:t>
      </w:r>
      <w:r w:rsidR="007074BE">
        <w:t>ofrecer</w:t>
      </w:r>
      <w:r w:rsidRPr="00C42FA8">
        <w:t xml:space="preserve"> una </w:t>
      </w:r>
      <w:r w:rsidR="00D90682" w:rsidRPr="00C42FA8">
        <w:t>reflexión para las</w:t>
      </w:r>
      <w:r w:rsidR="007074BE">
        <w:t xml:space="preserve"> implicaciones prácticas, como </w:t>
      </w:r>
      <w:r w:rsidR="00D90682" w:rsidRPr="00C42FA8">
        <w:t xml:space="preserve">la necesidad de </w:t>
      </w:r>
      <w:r w:rsidRPr="00C42FA8">
        <w:t>formación</w:t>
      </w:r>
      <w:r w:rsidR="00D90682" w:rsidRPr="00C42FA8">
        <w:t xml:space="preserve">, capacitación y </w:t>
      </w:r>
      <w:r w:rsidRPr="00C42FA8">
        <w:t>aprendizaje</w:t>
      </w:r>
      <w:r w:rsidR="00D90682" w:rsidRPr="00C42FA8">
        <w:t xml:space="preserve"> del líder en </w:t>
      </w:r>
      <w:r w:rsidR="001D4AE9">
        <w:t>el</w:t>
      </w:r>
      <w:r w:rsidR="00D90682" w:rsidRPr="00C42FA8">
        <w:t xml:space="preserve"> marco de </w:t>
      </w:r>
      <w:r w:rsidR="001D4AE9">
        <w:t xml:space="preserve">un </w:t>
      </w:r>
      <w:r w:rsidR="00D90682" w:rsidRPr="00C42FA8">
        <w:t>estilo transformacional</w:t>
      </w:r>
      <w:r w:rsidR="007074BE">
        <w:t xml:space="preserve">, pues de ese modo podrá no solo </w:t>
      </w:r>
      <w:r w:rsidR="00D90682" w:rsidRPr="00C42FA8">
        <w:t>saber comunicar</w:t>
      </w:r>
      <w:r w:rsidR="007074BE">
        <w:t>se</w:t>
      </w:r>
      <w:r w:rsidR="00D90682" w:rsidRPr="00C42FA8">
        <w:t xml:space="preserve"> de forma inspiradora</w:t>
      </w:r>
      <w:r w:rsidR="007074BE">
        <w:t xml:space="preserve">, sino también </w:t>
      </w:r>
      <w:r w:rsidRPr="00C42FA8">
        <w:t>estimular inte</w:t>
      </w:r>
      <w:r w:rsidR="00D90682" w:rsidRPr="00C42FA8">
        <w:t xml:space="preserve">lectualmente a sus trabajadores, así como apoyarlos y reconocer </w:t>
      </w:r>
      <w:r w:rsidR="001D4AE9">
        <w:t>la labor</w:t>
      </w:r>
      <w:r w:rsidR="00D90682" w:rsidRPr="00C42FA8">
        <w:t xml:space="preserve"> que realizan </w:t>
      </w:r>
      <w:r w:rsidR="007074BE">
        <w:t xml:space="preserve">para conseguir </w:t>
      </w:r>
      <w:r w:rsidR="00D90682" w:rsidRPr="00C42FA8">
        <w:t>los objetivos organizacionales</w:t>
      </w:r>
      <w:r w:rsidR="007074BE">
        <w:t>.</w:t>
      </w:r>
    </w:p>
    <w:p w14:paraId="135F6420" w14:textId="77777777" w:rsidR="00D90682" w:rsidRPr="00C42FA8" w:rsidRDefault="007074BE" w:rsidP="001D3352">
      <w:pPr>
        <w:autoSpaceDE w:val="0"/>
        <w:autoSpaceDN w:val="0"/>
        <w:adjustRightInd w:val="0"/>
        <w:spacing w:after="0" w:line="360" w:lineRule="auto"/>
        <w:ind w:firstLine="708"/>
        <w:jc w:val="both"/>
      </w:pPr>
      <w:r>
        <w:t>En concordancia con esta observación, se puede asegurar que a</w:t>
      </w:r>
      <w:r w:rsidR="00D645C0" w:rsidRPr="00C42FA8">
        <w:t>quellas empresas que cuenten con líderes transform</w:t>
      </w:r>
      <w:r w:rsidR="00685E6E">
        <w:t>acionales tendrán mayor</w:t>
      </w:r>
      <w:r w:rsidR="00D90682" w:rsidRPr="00C42FA8">
        <w:t xml:space="preserve"> </w:t>
      </w:r>
      <w:r w:rsidR="00D645C0" w:rsidRPr="00C42FA8">
        <w:t>cuidado del capital psicológico positivo y podr</w:t>
      </w:r>
      <w:r>
        <w:t>á</w:t>
      </w:r>
      <w:r w:rsidR="00D645C0" w:rsidRPr="00C42FA8">
        <w:t>n ser categorizadas como organizaciones</w:t>
      </w:r>
      <w:r w:rsidR="00E92153">
        <w:t xml:space="preserve"> sanas. Esto se puede </w:t>
      </w:r>
      <w:r w:rsidR="00173B57">
        <w:t xml:space="preserve">inferir </w:t>
      </w:r>
      <w:r w:rsidR="00E92153">
        <w:t xml:space="preserve">de los resultados conseguidos en este estudio, los cuales sirven para apoyar </w:t>
      </w:r>
      <w:r w:rsidR="00173B57">
        <w:t>la comprobación de las hipótesis.</w:t>
      </w:r>
    </w:p>
    <w:p w14:paraId="4D90E934" w14:textId="77777777" w:rsidR="00D645C0" w:rsidRPr="00C42FA8" w:rsidRDefault="00E92153" w:rsidP="00707273">
      <w:pPr>
        <w:autoSpaceDE w:val="0"/>
        <w:autoSpaceDN w:val="0"/>
        <w:adjustRightInd w:val="0"/>
        <w:spacing w:after="0" w:line="360" w:lineRule="auto"/>
        <w:ind w:firstLine="708"/>
        <w:jc w:val="both"/>
      </w:pPr>
      <w:r>
        <w:t xml:space="preserve">Además, cuando </w:t>
      </w:r>
      <w:r w:rsidRPr="00C42FA8">
        <w:t>los trabajadores</w:t>
      </w:r>
      <w:r>
        <w:t xml:space="preserve"> sienten esa </w:t>
      </w:r>
      <w:r w:rsidR="00D645C0" w:rsidRPr="00C42FA8">
        <w:t>percepción de cuidado</w:t>
      </w:r>
      <w:r w:rsidR="001D4AE9">
        <w:t>,</w:t>
      </w:r>
      <w:r w:rsidR="00D645C0" w:rsidRPr="00C42FA8">
        <w:t xml:space="preserve"> </w:t>
      </w:r>
      <w:r w:rsidR="001D4AE9">
        <w:t>podrán</w:t>
      </w:r>
      <w:r>
        <w:t xml:space="preserve"> </w:t>
      </w:r>
      <w:r w:rsidR="00D645C0" w:rsidRPr="00C42FA8">
        <w:t>generar mayores niveles de afe</w:t>
      </w:r>
      <w:r w:rsidR="00D90682" w:rsidRPr="00C42FA8">
        <w:t xml:space="preserve">cto positivo </w:t>
      </w:r>
      <w:r w:rsidR="00D645C0" w:rsidRPr="00C42FA8">
        <w:t xml:space="preserve">y </w:t>
      </w:r>
      <w:r w:rsidR="00D90682" w:rsidRPr="00C42FA8">
        <w:t>compromiso</w:t>
      </w:r>
      <w:r>
        <w:t>, lo cual</w:t>
      </w:r>
      <w:r w:rsidR="00D645C0" w:rsidRPr="00C42FA8">
        <w:t xml:space="preserve"> posiblemente se </w:t>
      </w:r>
      <w:r>
        <w:t xml:space="preserve">suele traducir en más elevados estándares de </w:t>
      </w:r>
      <w:r w:rsidR="00D645C0" w:rsidRPr="00C42FA8">
        <w:t>desempeño. Esta</w:t>
      </w:r>
      <w:r>
        <w:t>, sin embargo,</w:t>
      </w:r>
      <w:r w:rsidR="00D645C0" w:rsidRPr="00C42FA8">
        <w:t xml:space="preserve"> </w:t>
      </w:r>
      <w:r w:rsidR="0055751B" w:rsidRPr="00C42FA8">
        <w:t>es una</w:t>
      </w:r>
      <w:r w:rsidR="00D645C0" w:rsidRPr="00C42FA8">
        <w:t xml:space="preserve"> la línea de investigación </w:t>
      </w:r>
      <w:r>
        <w:t>que queda planteada para próximos trabajos</w:t>
      </w:r>
      <w:r w:rsidR="0055751B" w:rsidRPr="00C42FA8">
        <w:t xml:space="preserve">. </w:t>
      </w:r>
    </w:p>
    <w:p w14:paraId="4B4F57F7" w14:textId="77777777" w:rsidR="00D645C0" w:rsidRPr="00C42FA8" w:rsidRDefault="0055751B" w:rsidP="00FC2736">
      <w:pPr>
        <w:autoSpaceDE w:val="0"/>
        <w:autoSpaceDN w:val="0"/>
        <w:adjustRightInd w:val="0"/>
        <w:spacing w:after="0" w:line="360" w:lineRule="auto"/>
        <w:jc w:val="both"/>
      </w:pPr>
      <w:r w:rsidRPr="00C42FA8">
        <w:tab/>
        <w:t xml:space="preserve">Otro estudio que se </w:t>
      </w:r>
      <w:r w:rsidR="00FC2736">
        <w:t xml:space="preserve">debe desarrollar en el futuro tiene que ver con </w:t>
      </w:r>
      <w:r w:rsidRPr="00C42FA8">
        <w:t>el análisis del desempeño organizacional y las percepciones del gerente respecto a la participación y desarrollo de los trabajadores</w:t>
      </w:r>
      <w:r w:rsidR="00FC2736">
        <w:t>. Esto significa que se debe</w:t>
      </w:r>
      <w:r w:rsidRPr="00C42FA8">
        <w:t xml:space="preserve"> poner a prueba </w:t>
      </w:r>
      <w:r w:rsidR="00D645C0" w:rsidRPr="00C42FA8">
        <w:t>la relación que existe entre el liderazgo</w:t>
      </w:r>
      <w:r w:rsidRPr="00C42FA8">
        <w:t xml:space="preserve"> transformacional</w:t>
      </w:r>
      <w:r w:rsidR="00D645C0" w:rsidRPr="00C42FA8">
        <w:t xml:space="preserve">, </w:t>
      </w:r>
      <w:r w:rsidRPr="00C42FA8">
        <w:t xml:space="preserve">el bienestar psicológico en el trabajo y el </w:t>
      </w:r>
      <w:r w:rsidR="00D645C0" w:rsidRPr="00C42FA8">
        <w:t>desempeño</w:t>
      </w:r>
      <w:r w:rsidRPr="00C42FA8">
        <w:t xml:space="preserve"> organizativo.</w:t>
      </w:r>
    </w:p>
    <w:p w14:paraId="3DEE8409" w14:textId="77777777" w:rsidR="00D645C0" w:rsidRPr="00C42FA8" w:rsidRDefault="001D4AE9" w:rsidP="001D3352">
      <w:pPr>
        <w:autoSpaceDE w:val="0"/>
        <w:autoSpaceDN w:val="0"/>
        <w:adjustRightInd w:val="0"/>
        <w:spacing w:after="0" w:line="360" w:lineRule="auto"/>
        <w:ind w:firstLine="708"/>
        <w:jc w:val="both"/>
      </w:pPr>
      <w:r>
        <w:lastRenderedPageBreak/>
        <w:t>Esta</w:t>
      </w:r>
      <w:r w:rsidR="00FC2736">
        <w:t xml:space="preserve"> </w:t>
      </w:r>
      <w:r w:rsidR="0055751B" w:rsidRPr="00C42FA8">
        <w:t xml:space="preserve">investigación de caso, además de probar las hipótesis propuestas en la introducción, </w:t>
      </w:r>
      <w:r w:rsidR="00FC2736">
        <w:t xml:space="preserve">constituye </w:t>
      </w:r>
      <w:r w:rsidR="0055751B" w:rsidRPr="00C42FA8">
        <w:t>un precedente para el estudio organizacional a partir de variables de orden subjetivo</w:t>
      </w:r>
      <w:r w:rsidR="00FC2736">
        <w:t xml:space="preserve">, las cuales </w:t>
      </w:r>
      <w:r w:rsidR="0055751B" w:rsidRPr="00C42FA8">
        <w:t xml:space="preserve">pueden constituir una fortaleza y </w:t>
      </w:r>
      <w:r w:rsidR="00FC2736">
        <w:t xml:space="preserve">una </w:t>
      </w:r>
      <w:r w:rsidR="0055751B" w:rsidRPr="00C42FA8">
        <w:t xml:space="preserve">ventaja ante la necesidad de las </w:t>
      </w:r>
      <w:r w:rsidR="00FC2736" w:rsidRPr="00C42FA8">
        <w:t>mypes</w:t>
      </w:r>
      <w:r w:rsidR="0055751B" w:rsidRPr="00C42FA8">
        <w:t xml:space="preserve"> de utilizar herramientas que no sean costosas para el negocio</w:t>
      </w:r>
      <w:r w:rsidR="00FC2736">
        <w:t xml:space="preserve">. Este es un </w:t>
      </w:r>
      <w:r w:rsidR="0055751B" w:rsidRPr="00C42FA8">
        <w:t xml:space="preserve">capital activo que </w:t>
      </w:r>
      <w:r w:rsidR="00FC2736">
        <w:t xml:space="preserve">se debe tomar en cuenta </w:t>
      </w:r>
      <w:r w:rsidR="0055751B" w:rsidRPr="00C42FA8">
        <w:t xml:space="preserve">para participar y proveer a la organización de herramientas que en ocasiones el líder o gerente no puede </w:t>
      </w:r>
      <w:r w:rsidR="005A78F5" w:rsidRPr="00C42FA8">
        <w:t xml:space="preserve">aportar </w:t>
      </w:r>
      <w:r w:rsidR="0055751B" w:rsidRPr="00C42FA8">
        <w:t xml:space="preserve">por sí </w:t>
      </w:r>
      <w:r w:rsidR="005A78F5">
        <w:t>mismo</w:t>
      </w:r>
      <w:r w:rsidR="0055751B" w:rsidRPr="00C42FA8">
        <w:t xml:space="preserve">, </w:t>
      </w:r>
      <w:r w:rsidR="005A78F5">
        <w:t xml:space="preserve">las cuales </w:t>
      </w:r>
      <w:r w:rsidR="0055751B" w:rsidRPr="00C42FA8">
        <w:t>pueden ser gestionadas desde la visión de un liderazgo transformacional.</w:t>
      </w:r>
    </w:p>
    <w:p w14:paraId="024C16EE" w14:textId="77777777" w:rsidR="00FE3B4F" w:rsidRDefault="005A78F5" w:rsidP="00707273">
      <w:pPr>
        <w:autoSpaceDE w:val="0"/>
        <w:autoSpaceDN w:val="0"/>
        <w:adjustRightInd w:val="0"/>
        <w:spacing w:after="0" w:line="360" w:lineRule="auto"/>
        <w:ind w:firstLine="708"/>
        <w:jc w:val="both"/>
        <w:rPr>
          <w:shd w:val="clear" w:color="auto" w:fill="FFFFFF"/>
        </w:rPr>
      </w:pPr>
      <w:r>
        <w:t>Asimismo, se debe tener presente que fomentar entre el</w:t>
      </w:r>
      <w:r w:rsidR="00707273">
        <w:t xml:space="preserve"> personal</w:t>
      </w:r>
      <w:r w:rsidR="0055751B" w:rsidRPr="00C42FA8">
        <w:t xml:space="preserve"> altos </w:t>
      </w:r>
      <w:r w:rsidRPr="00C42FA8">
        <w:t xml:space="preserve">niveles </w:t>
      </w:r>
      <w:r w:rsidR="0055751B" w:rsidRPr="00C42FA8">
        <w:t>de bienestar psicológico</w:t>
      </w:r>
      <w:r>
        <w:t xml:space="preserve"> puede servir como medida preventiva de múltiples </w:t>
      </w:r>
      <w:r w:rsidR="00FE3B4F" w:rsidRPr="00C42FA8">
        <w:t>enfermedades</w:t>
      </w:r>
      <w:r w:rsidRPr="005A78F5">
        <w:t xml:space="preserve"> </w:t>
      </w:r>
      <w:r w:rsidRPr="00C42FA8">
        <w:t>de tipo mental o asociadas el estrés laboral</w:t>
      </w:r>
      <w:r>
        <w:t>, las cuales resultan muy costosas</w:t>
      </w:r>
      <w:r w:rsidR="00FE3B4F" w:rsidRPr="00C42FA8">
        <w:t xml:space="preserve"> para </w:t>
      </w:r>
      <w:r>
        <w:t xml:space="preserve">ser cubiertas por </w:t>
      </w:r>
      <w:r w:rsidR="00FE3B4F" w:rsidRPr="00C42FA8">
        <w:t xml:space="preserve">las </w:t>
      </w:r>
      <w:r w:rsidRPr="00C42FA8">
        <w:t>mypes</w:t>
      </w:r>
      <w:r w:rsidR="00FE3B4F" w:rsidRPr="00C42FA8">
        <w:t xml:space="preserve">. </w:t>
      </w:r>
      <w:r>
        <w:rPr>
          <w:shd w:val="clear" w:color="auto" w:fill="FFFFFF"/>
        </w:rPr>
        <w:t>Todas estas iniciativas</w:t>
      </w:r>
      <w:r w:rsidR="00BD0ACA">
        <w:rPr>
          <w:shd w:val="clear" w:color="auto" w:fill="FFFFFF"/>
        </w:rPr>
        <w:t>, en definitiva,</w:t>
      </w:r>
      <w:r>
        <w:rPr>
          <w:shd w:val="clear" w:color="auto" w:fill="FFFFFF"/>
        </w:rPr>
        <w:t xml:space="preserve"> </w:t>
      </w:r>
      <w:r w:rsidR="00FE3B4F" w:rsidRPr="00C42FA8">
        <w:rPr>
          <w:shd w:val="clear" w:color="auto" w:fill="FFFFFF"/>
        </w:rPr>
        <w:t xml:space="preserve">proveen </w:t>
      </w:r>
      <w:r>
        <w:rPr>
          <w:shd w:val="clear" w:color="auto" w:fill="FFFFFF"/>
        </w:rPr>
        <w:t xml:space="preserve">recursos </w:t>
      </w:r>
      <w:r w:rsidR="00FE3B4F" w:rsidRPr="00C42FA8">
        <w:rPr>
          <w:shd w:val="clear" w:color="auto" w:fill="FFFFFF"/>
        </w:rPr>
        <w:t>potencial</w:t>
      </w:r>
      <w:r>
        <w:rPr>
          <w:shd w:val="clear" w:color="auto" w:fill="FFFFFF"/>
        </w:rPr>
        <w:t>es</w:t>
      </w:r>
      <w:r w:rsidR="00FE3B4F" w:rsidRPr="00C42FA8">
        <w:rPr>
          <w:shd w:val="clear" w:color="auto" w:fill="FFFFFF"/>
        </w:rPr>
        <w:t xml:space="preserve"> para </w:t>
      </w:r>
      <w:r w:rsidR="00BD0ACA">
        <w:rPr>
          <w:shd w:val="clear" w:color="auto" w:fill="FFFFFF"/>
        </w:rPr>
        <w:t xml:space="preserve">diagnosticar </w:t>
      </w:r>
      <w:r w:rsidR="00FE3B4F" w:rsidRPr="00C42FA8">
        <w:rPr>
          <w:shd w:val="clear" w:color="auto" w:fill="FFFFFF"/>
        </w:rPr>
        <w:t>del bienestar psicológico en el trabajo</w:t>
      </w:r>
      <w:r>
        <w:rPr>
          <w:shd w:val="clear" w:color="auto" w:fill="FFFFFF"/>
        </w:rPr>
        <w:t>,</w:t>
      </w:r>
      <w:r w:rsidR="00FE3B4F" w:rsidRPr="00C42FA8">
        <w:rPr>
          <w:shd w:val="clear" w:color="auto" w:fill="FFFFFF"/>
        </w:rPr>
        <w:t xml:space="preserve"> con un rigor metodológico </w:t>
      </w:r>
      <w:r>
        <w:rPr>
          <w:shd w:val="clear" w:color="auto" w:fill="FFFFFF"/>
        </w:rPr>
        <w:t xml:space="preserve">que se apoya </w:t>
      </w:r>
      <w:r w:rsidR="00FE3B4F" w:rsidRPr="00C42FA8">
        <w:rPr>
          <w:shd w:val="clear" w:color="auto" w:fill="FFFFFF"/>
        </w:rPr>
        <w:t>en la métrica</w:t>
      </w:r>
      <w:r w:rsidR="00BD0ACA">
        <w:rPr>
          <w:shd w:val="clear" w:color="auto" w:fill="FFFFFF"/>
        </w:rPr>
        <w:t xml:space="preserve"> no solo para </w:t>
      </w:r>
      <w:r w:rsidR="00FE3B4F" w:rsidRPr="00C42FA8">
        <w:rPr>
          <w:shd w:val="clear" w:color="auto" w:fill="FFFFFF"/>
        </w:rPr>
        <w:t xml:space="preserve">comprender las nociones de </w:t>
      </w:r>
      <w:r w:rsidR="00BD0ACA">
        <w:rPr>
          <w:shd w:val="clear" w:color="auto" w:fill="FFFFFF"/>
        </w:rPr>
        <w:t>ese tema, sino también para</w:t>
      </w:r>
      <w:r w:rsidR="00FE3B4F" w:rsidRPr="00C42FA8">
        <w:rPr>
          <w:shd w:val="clear" w:color="auto" w:fill="FFFFFF"/>
        </w:rPr>
        <w:t xml:space="preserve"> plantear estrategias organizacionales </w:t>
      </w:r>
      <w:r w:rsidR="00BD0ACA">
        <w:rPr>
          <w:shd w:val="clear" w:color="auto" w:fill="FFFFFF"/>
        </w:rPr>
        <w:t>en</w:t>
      </w:r>
      <w:r w:rsidR="00FE3B4F" w:rsidRPr="00C42FA8">
        <w:rPr>
          <w:shd w:val="clear" w:color="auto" w:fill="FFFFFF"/>
        </w:rPr>
        <w:t xml:space="preserve"> las </w:t>
      </w:r>
      <w:r w:rsidR="00BD0ACA" w:rsidRPr="00C42FA8">
        <w:rPr>
          <w:shd w:val="clear" w:color="auto" w:fill="FFFFFF"/>
        </w:rPr>
        <w:t>mypes</w:t>
      </w:r>
      <w:r w:rsidR="00FE3B4F" w:rsidRPr="00C42FA8">
        <w:rPr>
          <w:shd w:val="clear" w:color="auto" w:fill="FFFFFF"/>
        </w:rPr>
        <w:t>.</w:t>
      </w:r>
    </w:p>
    <w:p w14:paraId="3C184AC7" w14:textId="77777777" w:rsidR="00730456" w:rsidRDefault="00730456" w:rsidP="00707273">
      <w:pPr>
        <w:autoSpaceDE w:val="0"/>
        <w:autoSpaceDN w:val="0"/>
        <w:adjustRightInd w:val="0"/>
        <w:spacing w:after="0" w:line="360" w:lineRule="auto"/>
        <w:ind w:firstLine="708"/>
        <w:jc w:val="both"/>
        <w:rPr>
          <w:shd w:val="clear" w:color="auto" w:fill="FFFFFF"/>
        </w:rPr>
      </w:pPr>
    </w:p>
    <w:p w14:paraId="0AF9957B" w14:textId="0AB9464B" w:rsidR="00730456" w:rsidRDefault="00730456" w:rsidP="00707273">
      <w:pPr>
        <w:autoSpaceDE w:val="0"/>
        <w:autoSpaceDN w:val="0"/>
        <w:adjustRightInd w:val="0"/>
        <w:spacing w:after="0" w:line="360" w:lineRule="auto"/>
        <w:ind w:firstLine="708"/>
        <w:jc w:val="both"/>
      </w:pPr>
    </w:p>
    <w:p w14:paraId="00CA6026" w14:textId="6ED74E6B" w:rsidR="00D35C7B" w:rsidRDefault="00D35C7B" w:rsidP="00707273">
      <w:pPr>
        <w:autoSpaceDE w:val="0"/>
        <w:autoSpaceDN w:val="0"/>
        <w:adjustRightInd w:val="0"/>
        <w:spacing w:after="0" w:line="360" w:lineRule="auto"/>
        <w:ind w:firstLine="708"/>
        <w:jc w:val="both"/>
      </w:pPr>
    </w:p>
    <w:p w14:paraId="54E85D0D" w14:textId="71469C9A" w:rsidR="00D35C7B" w:rsidRDefault="00D35C7B" w:rsidP="00707273">
      <w:pPr>
        <w:autoSpaceDE w:val="0"/>
        <w:autoSpaceDN w:val="0"/>
        <w:adjustRightInd w:val="0"/>
        <w:spacing w:after="0" w:line="360" w:lineRule="auto"/>
        <w:ind w:firstLine="708"/>
        <w:jc w:val="both"/>
      </w:pPr>
    </w:p>
    <w:p w14:paraId="3CF2BAD4" w14:textId="46F62CA9" w:rsidR="00D35C7B" w:rsidRDefault="00D35C7B" w:rsidP="00707273">
      <w:pPr>
        <w:autoSpaceDE w:val="0"/>
        <w:autoSpaceDN w:val="0"/>
        <w:adjustRightInd w:val="0"/>
        <w:spacing w:after="0" w:line="360" w:lineRule="auto"/>
        <w:ind w:firstLine="708"/>
        <w:jc w:val="both"/>
      </w:pPr>
    </w:p>
    <w:p w14:paraId="6D1C1A78" w14:textId="6A306DF2" w:rsidR="00D35C7B" w:rsidRDefault="00D35C7B" w:rsidP="00707273">
      <w:pPr>
        <w:autoSpaceDE w:val="0"/>
        <w:autoSpaceDN w:val="0"/>
        <w:adjustRightInd w:val="0"/>
        <w:spacing w:after="0" w:line="360" w:lineRule="auto"/>
        <w:ind w:firstLine="708"/>
        <w:jc w:val="both"/>
      </w:pPr>
    </w:p>
    <w:p w14:paraId="5EF6BC99" w14:textId="3AAE11B3" w:rsidR="00D35C7B" w:rsidRDefault="00D35C7B" w:rsidP="00707273">
      <w:pPr>
        <w:autoSpaceDE w:val="0"/>
        <w:autoSpaceDN w:val="0"/>
        <w:adjustRightInd w:val="0"/>
        <w:spacing w:after="0" w:line="360" w:lineRule="auto"/>
        <w:ind w:firstLine="708"/>
        <w:jc w:val="both"/>
      </w:pPr>
    </w:p>
    <w:p w14:paraId="42E9CAE1" w14:textId="1E190530" w:rsidR="00D35C7B" w:rsidRDefault="00D35C7B" w:rsidP="00707273">
      <w:pPr>
        <w:autoSpaceDE w:val="0"/>
        <w:autoSpaceDN w:val="0"/>
        <w:adjustRightInd w:val="0"/>
        <w:spacing w:after="0" w:line="360" w:lineRule="auto"/>
        <w:ind w:firstLine="708"/>
        <w:jc w:val="both"/>
      </w:pPr>
    </w:p>
    <w:p w14:paraId="40E8C80C" w14:textId="3D4F4462" w:rsidR="00D35C7B" w:rsidRDefault="00D35C7B" w:rsidP="00707273">
      <w:pPr>
        <w:autoSpaceDE w:val="0"/>
        <w:autoSpaceDN w:val="0"/>
        <w:adjustRightInd w:val="0"/>
        <w:spacing w:after="0" w:line="360" w:lineRule="auto"/>
        <w:ind w:firstLine="708"/>
        <w:jc w:val="both"/>
      </w:pPr>
    </w:p>
    <w:p w14:paraId="24FF3D25" w14:textId="6ED96A3D" w:rsidR="00D35C7B" w:rsidRDefault="00D35C7B" w:rsidP="00707273">
      <w:pPr>
        <w:autoSpaceDE w:val="0"/>
        <w:autoSpaceDN w:val="0"/>
        <w:adjustRightInd w:val="0"/>
        <w:spacing w:after="0" w:line="360" w:lineRule="auto"/>
        <w:ind w:firstLine="708"/>
        <w:jc w:val="both"/>
      </w:pPr>
    </w:p>
    <w:p w14:paraId="25CD9009" w14:textId="5A1B7612" w:rsidR="00D35C7B" w:rsidRDefault="00D35C7B" w:rsidP="00707273">
      <w:pPr>
        <w:autoSpaceDE w:val="0"/>
        <w:autoSpaceDN w:val="0"/>
        <w:adjustRightInd w:val="0"/>
        <w:spacing w:after="0" w:line="360" w:lineRule="auto"/>
        <w:ind w:firstLine="708"/>
        <w:jc w:val="both"/>
      </w:pPr>
    </w:p>
    <w:p w14:paraId="6A8D7158" w14:textId="4F4230E2" w:rsidR="00D35C7B" w:rsidRDefault="00D35C7B" w:rsidP="00707273">
      <w:pPr>
        <w:autoSpaceDE w:val="0"/>
        <w:autoSpaceDN w:val="0"/>
        <w:adjustRightInd w:val="0"/>
        <w:spacing w:after="0" w:line="360" w:lineRule="auto"/>
        <w:ind w:firstLine="708"/>
        <w:jc w:val="both"/>
      </w:pPr>
    </w:p>
    <w:p w14:paraId="395A27DE" w14:textId="52B83A5A" w:rsidR="00D35C7B" w:rsidRDefault="00D35C7B" w:rsidP="00707273">
      <w:pPr>
        <w:autoSpaceDE w:val="0"/>
        <w:autoSpaceDN w:val="0"/>
        <w:adjustRightInd w:val="0"/>
        <w:spacing w:after="0" w:line="360" w:lineRule="auto"/>
        <w:ind w:firstLine="708"/>
        <w:jc w:val="both"/>
      </w:pPr>
    </w:p>
    <w:p w14:paraId="00A36C36" w14:textId="187AFB1B" w:rsidR="00D35C7B" w:rsidRDefault="00D35C7B" w:rsidP="00707273">
      <w:pPr>
        <w:autoSpaceDE w:val="0"/>
        <w:autoSpaceDN w:val="0"/>
        <w:adjustRightInd w:val="0"/>
        <w:spacing w:after="0" w:line="360" w:lineRule="auto"/>
        <w:ind w:firstLine="708"/>
        <w:jc w:val="both"/>
      </w:pPr>
    </w:p>
    <w:p w14:paraId="41000A16" w14:textId="398FB3B7" w:rsidR="00D35C7B" w:rsidRDefault="00D35C7B" w:rsidP="00707273">
      <w:pPr>
        <w:autoSpaceDE w:val="0"/>
        <w:autoSpaceDN w:val="0"/>
        <w:adjustRightInd w:val="0"/>
        <w:spacing w:after="0" w:line="360" w:lineRule="auto"/>
        <w:ind w:firstLine="708"/>
        <w:jc w:val="both"/>
      </w:pPr>
    </w:p>
    <w:p w14:paraId="58EE3AD0" w14:textId="46531468" w:rsidR="00D35C7B" w:rsidRDefault="00D35C7B" w:rsidP="00707273">
      <w:pPr>
        <w:autoSpaceDE w:val="0"/>
        <w:autoSpaceDN w:val="0"/>
        <w:adjustRightInd w:val="0"/>
        <w:spacing w:after="0" w:line="360" w:lineRule="auto"/>
        <w:ind w:firstLine="708"/>
        <w:jc w:val="both"/>
      </w:pPr>
    </w:p>
    <w:p w14:paraId="7C42A142" w14:textId="23316C1F" w:rsidR="00D35C7B" w:rsidRDefault="00D35C7B" w:rsidP="00707273">
      <w:pPr>
        <w:autoSpaceDE w:val="0"/>
        <w:autoSpaceDN w:val="0"/>
        <w:adjustRightInd w:val="0"/>
        <w:spacing w:after="0" w:line="360" w:lineRule="auto"/>
        <w:ind w:firstLine="708"/>
        <w:jc w:val="both"/>
      </w:pPr>
    </w:p>
    <w:p w14:paraId="3A0DA094" w14:textId="77777777" w:rsidR="00D35C7B" w:rsidRPr="00194A2D" w:rsidRDefault="00D35C7B" w:rsidP="00707273">
      <w:pPr>
        <w:autoSpaceDE w:val="0"/>
        <w:autoSpaceDN w:val="0"/>
        <w:adjustRightInd w:val="0"/>
        <w:spacing w:after="0" w:line="360" w:lineRule="auto"/>
        <w:ind w:firstLine="708"/>
        <w:jc w:val="both"/>
      </w:pPr>
    </w:p>
    <w:p w14:paraId="23E84A5B" w14:textId="77777777" w:rsidR="005D414A" w:rsidRPr="002C1A26" w:rsidRDefault="005D414A" w:rsidP="00730456">
      <w:pPr>
        <w:spacing w:after="0" w:line="360" w:lineRule="auto"/>
        <w:jc w:val="both"/>
        <w:rPr>
          <w:rFonts w:asciiTheme="minorHAnsi" w:hAnsiTheme="minorHAnsi" w:cstheme="minorHAnsi"/>
          <w:b/>
          <w:sz w:val="32"/>
          <w:szCs w:val="32"/>
          <w:shd w:val="clear" w:color="auto" w:fill="FFFFFF"/>
          <w:lang w:val="en-US"/>
        </w:rPr>
      </w:pPr>
      <w:proofErr w:type="spellStart"/>
      <w:r w:rsidRPr="002C1A26">
        <w:rPr>
          <w:rFonts w:asciiTheme="minorHAnsi" w:hAnsiTheme="minorHAnsi" w:cstheme="minorHAnsi"/>
          <w:b/>
          <w:sz w:val="28"/>
          <w:szCs w:val="32"/>
          <w:shd w:val="clear" w:color="auto" w:fill="FFFFFF"/>
          <w:lang w:val="en-US"/>
        </w:rPr>
        <w:lastRenderedPageBreak/>
        <w:t>Referencias</w:t>
      </w:r>
      <w:proofErr w:type="spellEnd"/>
    </w:p>
    <w:p w14:paraId="21794127" w14:textId="77777777" w:rsidR="000679BA" w:rsidRPr="00454D5E" w:rsidRDefault="000679BA" w:rsidP="002C1A26">
      <w:pPr>
        <w:spacing w:after="0" w:line="360" w:lineRule="auto"/>
        <w:ind w:left="720" w:hanging="720"/>
        <w:jc w:val="both"/>
        <w:rPr>
          <w:rFonts w:eastAsia="Calibri"/>
          <w:lang w:val="en-US"/>
        </w:rPr>
      </w:pPr>
      <w:r w:rsidRPr="00454D5E">
        <w:rPr>
          <w:rFonts w:eastAsia="Calibri"/>
          <w:lang w:val="en-US"/>
        </w:rPr>
        <w:t xml:space="preserve">Abbott, S. and Freeth, D. (2008). Social Capital and Health. </w:t>
      </w:r>
      <w:r w:rsidRPr="00454D5E">
        <w:rPr>
          <w:rFonts w:eastAsia="Calibri"/>
          <w:i/>
          <w:iCs/>
          <w:lang w:val="en-US"/>
        </w:rPr>
        <w:t>Journal of Health Psychology</w:t>
      </w:r>
      <w:r w:rsidRPr="00454D5E">
        <w:rPr>
          <w:rFonts w:eastAsia="Calibri"/>
          <w:lang w:val="en-US"/>
        </w:rPr>
        <w:t xml:space="preserve">, </w:t>
      </w:r>
      <w:r w:rsidRPr="00454D5E">
        <w:rPr>
          <w:rFonts w:eastAsia="Calibri"/>
          <w:i/>
          <w:iCs/>
          <w:lang w:val="en-US"/>
        </w:rPr>
        <w:t>13</w:t>
      </w:r>
      <w:r w:rsidRPr="00454D5E">
        <w:rPr>
          <w:rFonts w:eastAsia="Calibri"/>
          <w:lang w:val="en-US"/>
        </w:rPr>
        <w:t xml:space="preserve">(7), 874-883. Doi: </w:t>
      </w:r>
      <w:hyperlink r:id="rId9" w:history="1">
        <w:r w:rsidRPr="00454D5E">
          <w:rPr>
            <w:rStyle w:val="Hipervnculo"/>
            <w:rFonts w:eastAsia="Calibri"/>
            <w:color w:val="auto"/>
            <w:u w:val="none"/>
            <w:lang w:val="en-US"/>
          </w:rPr>
          <w:t>https://doi.org/10.1177/1359105308095060</w:t>
        </w:r>
      </w:hyperlink>
    </w:p>
    <w:p w14:paraId="43C54292" w14:textId="2AC638FF" w:rsidR="000679BA" w:rsidRPr="00454D5E" w:rsidRDefault="000679BA" w:rsidP="002C1A26">
      <w:pPr>
        <w:spacing w:line="360" w:lineRule="auto"/>
        <w:ind w:left="720" w:hanging="720"/>
        <w:jc w:val="both"/>
        <w:rPr>
          <w:lang w:val="en-US"/>
        </w:rPr>
      </w:pPr>
      <w:r w:rsidRPr="00454D5E">
        <w:rPr>
          <w:rFonts w:eastAsia="Calibri"/>
          <w:lang w:val="en-US"/>
        </w:rPr>
        <w:t xml:space="preserve">Adler, A., Unanue, W., Osin, E., Ricard, M., Alkire, S. and Seligman, M. (2013). Psychological well-being. In Royal Government of Bhutan (ed.), </w:t>
      </w:r>
      <w:r w:rsidRPr="00454D5E">
        <w:rPr>
          <w:rFonts w:eastAsia="Calibri"/>
          <w:i/>
          <w:iCs/>
          <w:lang w:val="en-US"/>
        </w:rPr>
        <w:t>Psychological well-being. In Report on Wellbeing &amp;amp; Happiness</w:t>
      </w:r>
      <w:r w:rsidRPr="00454D5E">
        <w:rPr>
          <w:rFonts w:eastAsia="Calibri"/>
          <w:lang w:val="en-US"/>
        </w:rPr>
        <w:t xml:space="preserve"> (pp. 101–136). Retrieved from </w:t>
      </w:r>
      <w:r w:rsidRPr="00D35C7B">
        <w:rPr>
          <w:rFonts w:eastAsia="Calibri"/>
          <w:lang w:val="en-US"/>
        </w:rPr>
        <w:t>http://www.tapartsproject.co.uk/data/dynamic/spaw/documents/UN%20Wellbeing%20Report.pdf</w:t>
      </w:r>
      <w:r w:rsidRPr="00454D5E">
        <w:rPr>
          <w:rFonts w:eastAsia="Calibri"/>
          <w:lang w:val="en-US"/>
        </w:rPr>
        <w:t xml:space="preserve">. </w:t>
      </w:r>
    </w:p>
    <w:p w14:paraId="0197A6DF" w14:textId="77777777" w:rsidR="000679BA" w:rsidRPr="00454D5E" w:rsidRDefault="000679BA" w:rsidP="002C1A26">
      <w:pPr>
        <w:spacing w:line="360" w:lineRule="auto"/>
        <w:ind w:left="720" w:hanging="720"/>
        <w:jc w:val="both"/>
        <w:rPr>
          <w:lang w:val="en-US"/>
        </w:rPr>
      </w:pPr>
      <w:r w:rsidRPr="00454D5E">
        <w:rPr>
          <w:rFonts w:eastAsia="Calibri"/>
          <w:lang w:val="en-US"/>
        </w:rPr>
        <w:t xml:space="preserve">Adler, M., Dolan, P. and Kavetsos, G. (2014). </w:t>
      </w:r>
      <w:r w:rsidRPr="00454D5E">
        <w:rPr>
          <w:rFonts w:eastAsia="Calibri"/>
          <w:i/>
          <w:iCs/>
          <w:lang w:val="en-US"/>
        </w:rPr>
        <w:t>Understanding life choices: Happiness or something else?</w:t>
      </w:r>
      <w:r w:rsidRPr="00454D5E">
        <w:rPr>
          <w:rFonts w:eastAsia="Calibri"/>
          <w:lang w:val="en-US"/>
        </w:rPr>
        <w:t xml:space="preserve"> London School of Economics: Mimeo.</w:t>
      </w:r>
    </w:p>
    <w:p w14:paraId="31E96598" w14:textId="77777777" w:rsidR="000679BA" w:rsidRPr="00454D5E" w:rsidRDefault="000679BA" w:rsidP="002C1A26">
      <w:pPr>
        <w:spacing w:line="360" w:lineRule="auto"/>
        <w:ind w:left="720" w:hanging="720"/>
        <w:jc w:val="both"/>
        <w:rPr>
          <w:rFonts w:eastAsia="Calibri"/>
        </w:rPr>
      </w:pPr>
      <w:r w:rsidRPr="00454D5E">
        <w:rPr>
          <w:rFonts w:eastAsia="Calibri"/>
          <w:lang w:val="en-US"/>
        </w:rPr>
        <w:t xml:space="preserve">Avendaño, B. L. y Perrotini, I. (2015). </w:t>
      </w:r>
      <w:r w:rsidRPr="00454D5E">
        <w:rPr>
          <w:rFonts w:eastAsia="Calibri"/>
        </w:rPr>
        <w:t xml:space="preserve">Insuficiencia dinámica, crecimiento y desempleo en México, 1974-2012. </w:t>
      </w:r>
      <w:r w:rsidRPr="00454D5E">
        <w:rPr>
          <w:rFonts w:eastAsia="Calibri"/>
          <w:i/>
          <w:iCs/>
        </w:rPr>
        <w:t>Investigación Económica</w:t>
      </w:r>
      <w:r w:rsidRPr="00454D5E">
        <w:rPr>
          <w:rFonts w:eastAsia="Calibri"/>
        </w:rPr>
        <w:t xml:space="preserve">, </w:t>
      </w:r>
      <w:r w:rsidRPr="00454D5E">
        <w:rPr>
          <w:rFonts w:eastAsia="Calibri"/>
          <w:i/>
          <w:iCs/>
        </w:rPr>
        <w:t>74</w:t>
      </w:r>
      <w:r w:rsidRPr="00454D5E">
        <w:rPr>
          <w:rFonts w:eastAsia="Calibri"/>
        </w:rPr>
        <w:t xml:space="preserve">(293), 99-130. Recuperado de </w:t>
      </w:r>
      <w:hyperlink r:id="rId10" w:history="1">
        <w:r w:rsidRPr="00454D5E">
          <w:rPr>
            <w:rStyle w:val="Hipervnculo"/>
            <w:rFonts w:eastAsia="Calibri"/>
            <w:color w:val="auto"/>
            <w:u w:val="none"/>
          </w:rPr>
          <w:t>www.redalyc.org/articulo.oa?id=60141352006</w:t>
        </w:r>
      </w:hyperlink>
    </w:p>
    <w:p w14:paraId="61EB54FB" w14:textId="77777777" w:rsidR="000679BA" w:rsidRPr="00454D5E" w:rsidRDefault="000679BA" w:rsidP="002C1A26">
      <w:pPr>
        <w:spacing w:line="360" w:lineRule="auto"/>
        <w:ind w:left="720" w:hanging="720"/>
        <w:jc w:val="both"/>
        <w:rPr>
          <w:rFonts w:eastAsia="Calibri"/>
          <w:lang w:val="es-VE"/>
        </w:rPr>
      </w:pPr>
      <w:r w:rsidRPr="00454D5E">
        <w:rPr>
          <w:rFonts w:eastAsia="Calibri"/>
          <w:lang w:val="en-US"/>
        </w:rPr>
        <w:t xml:space="preserve">Avolio, B. and Bass, B. (eds.) (2002). </w:t>
      </w:r>
      <w:r w:rsidRPr="00454D5E">
        <w:rPr>
          <w:rFonts w:eastAsia="Calibri"/>
          <w:i/>
          <w:iCs/>
          <w:lang w:val="en-US"/>
        </w:rPr>
        <w:t>Developing potential across a full range of leadership:</w:t>
      </w:r>
      <w:r w:rsidRPr="00454D5E">
        <w:rPr>
          <w:rFonts w:eastAsia="Calibri"/>
          <w:lang w:val="en-US"/>
        </w:rPr>
        <w:t xml:space="preserve"> </w:t>
      </w:r>
      <w:r w:rsidRPr="00454D5E">
        <w:rPr>
          <w:rFonts w:eastAsia="Calibri"/>
          <w:i/>
          <w:lang w:val="en-US"/>
        </w:rPr>
        <w:t>c</w:t>
      </w:r>
      <w:r w:rsidRPr="00454D5E">
        <w:rPr>
          <w:i/>
          <w:color w:val="333333"/>
          <w:shd w:val="clear" w:color="auto" w:fill="FFFFFF"/>
          <w:lang w:val="en-US"/>
        </w:rPr>
        <w:t>ases on transactional and transformational leadership</w:t>
      </w:r>
      <w:r w:rsidRPr="00454D5E">
        <w:rPr>
          <w:rFonts w:eastAsia="Calibri"/>
          <w:lang w:val="en-US"/>
        </w:rPr>
        <w:t xml:space="preserve">. </w:t>
      </w:r>
      <w:r w:rsidRPr="00454D5E">
        <w:rPr>
          <w:rFonts w:eastAsia="Calibri"/>
          <w:lang w:val="es-VE"/>
        </w:rPr>
        <w:t>Mahwah, N. J.: Lawrence Erlbaum Associates.</w:t>
      </w:r>
    </w:p>
    <w:p w14:paraId="1C280195" w14:textId="77777777" w:rsidR="000679BA" w:rsidRPr="00454D5E" w:rsidRDefault="000679BA" w:rsidP="002C1A26">
      <w:pPr>
        <w:spacing w:line="360" w:lineRule="auto"/>
        <w:ind w:left="720" w:hanging="720"/>
        <w:jc w:val="both"/>
        <w:rPr>
          <w:rFonts w:eastAsia="Calibri"/>
          <w:lang w:val="en-US"/>
        </w:rPr>
      </w:pPr>
      <w:r w:rsidRPr="00454D5E">
        <w:rPr>
          <w:rFonts w:eastAsia="Calibri"/>
          <w:lang w:val="es-VE"/>
        </w:rPr>
        <w:t>Barley, S. y Kunda, G. (1992</w:t>
      </w:r>
      <w:r w:rsidRPr="00454D5E">
        <w:rPr>
          <w:rFonts w:eastAsia="Calibri"/>
          <w:i/>
          <w:lang w:val="es-VE"/>
        </w:rPr>
        <w:t xml:space="preserve">). </w:t>
      </w:r>
      <w:r w:rsidRPr="00454D5E">
        <w:rPr>
          <w:rFonts w:eastAsia="Calibri"/>
        </w:rPr>
        <w:t xml:space="preserve">Estructura y diseño vs. lealtad y sentimiento: oleadas de ideologías racionales y normativas de control en el discurso gerencial. </w:t>
      </w:r>
      <w:r w:rsidRPr="00454D5E">
        <w:rPr>
          <w:rFonts w:eastAsia="Calibri"/>
          <w:i/>
          <w:lang w:val="en-US"/>
        </w:rPr>
        <w:t>Tecnología Administrativa</w:t>
      </w:r>
      <w:r w:rsidRPr="00454D5E">
        <w:rPr>
          <w:rFonts w:eastAsia="Calibri"/>
          <w:lang w:val="en-US"/>
        </w:rPr>
        <w:t xml:space="preserve">, </w:t>
      </w:r>
      <w:r w:rsidRPr="00454D5E">
        <w:rPr>
          <w:rFonts w:eastAsia="Calibri"/>
          <w:i/>
          <w:lang w:val="en-US"/>
        </w:rPr>
        <w:t>9</w:t>
      </w:r>
      <w:r w:rsidRPr="00454D5E">
        <w:rPr>
          <w:rFonts w:eastAsia="Calibri"/>
          <w:lang w:val="en-US"/>
        </w:rPr>
        <w:t>(29), 135-192.</w:t>
      </w:r>
    </w:p>
    <w:p w14:paraId="0E18B3F5" w14:textId="3AE988E7" w:rsidR="000679BA" w:rsidRPr="003C0177" w:rsidRDefault="000679BA" w:rsidP="002C1A26">
      <w:pPr>
        <w:spacing w:line="360" w:lineRule="auto"/>
        <w:ind w:left="720" w:hanging="720"/>
        <w:jc w:val="both"/>
        <w:rPr>
          <w:lang w:val="en-US"/>
        </w:rPr>
      </w:pPr>
      <w:r w:rsidRPr="00454D5E">
        <w:rPr>
          <w:rFonts w:eastAsia="Calibri"/>
          <w:lang w:val="en-US"/>
        </w:rPr>
        <w:t xml:space="preserve">Bass, B. M. (1985). </w:t>
      </w:r>
      <w:r w:rsidRPr="00454D5E">
        <w:rPr>
          <w:rFonts w:eastAsia="Calibri"/>
          <w:i/>
          <w:iCs/>
          <w:lang w:val="en-US"/>
        </w:rPr>
        <w:t>Leadership and performance beyond expectations</w:t>
      </w:r>
      <w:r w:rsidRPr="00454D5E">
        <w:rPr>
          <w:rFonts w:eastAsia="Calibri"/>
          <w:lang w:val="en-US"/>
        </w:rPr>
        <w:t>. New York, New York: Free Press.</w:t>
      </w:r>
    </w:p>
    <w:p w14:paraId="64BC7167" w14:textId="77777777" w:rsidR="000679BA" w:rsidRPr="00454D5E" w:rsidRDefault="000679BA" w:rsidP="002C1A26">
      <w:pPr>
        <w:spacing w:line="360" w:lineRule="auto"/>
        <w:ind w:left="720" w:hanging="720"/>
        <w:jc w:val="both"/>
        <w:rPr>
          <w:lang w:val="en-US"/>
        </w:rPr>
      </w:pPr>
      <w:r w:rsidRPr="00454D5E">
        <w:rPr>
          <w:rFonts w:eastAsia="Calibri"/>
          <w:lang w:val="en-US"/>
        </w:rPr>
        <w:t xml:space="preserve">Braun, S., Peus, C., Weisweiler, S. and Frey, D. (2013). Transformational leadership, job satisfaction, and team performance: A multilevel mediation model of trust. </w:t>
      </w:r>
      <w:r w:rsidRPr="00454D5E">
        <w:rPr>
          <w:rFonts w:eastAsia="Calibri"/>
          <w:i/>
          <w:iCs/>
          <w:lang w:val="en-US"/>
        </w:rPr>
        <w:t>The Leadership Quarterly</w:t>
      </w:r>
      <w:r w:rsidRPr="00454D5E">
        <w:rPr>
          <w:rFonts w:eastAsia="Calibri"/>
          <w:lang w:val="en-US"/>
        </w:rPr>
        <w:t xml:space="preserve">, </w:t>
      </w:r>
      <w:r w:rsidRPr="00454D5E">
        <w:rPr>
          <w:rFonts w:eastAsia="Calibri"/>
          <w:i/>
          <w:iCs/>
          <w:lang w:val="en-US"/>
        </w:rPr>
        <w:t>24</w:t>
      </w:r>
      <w:r w:rsidRPr="00454D5E">
        <w:rPr>
          <w:rFonts w:eastAsia="Calibri"/>
          <w:lang w:val="en-US"/>
        </w:rPr>
        <w:t>(1), 270–283. Doi: https://doi.org/10.1016/j.leaqua.2012.11.006</w:t>
      </w:r>
    </w:p>
    <w:p w14:paraId="2C576D7C" w14:textId="77777777" w:rsidR="000679BA" w:rsidRPr="00454D5E" w:rsidRDefault="000679BA" w:rsidP="002C1A26">
      <w:pPr>
        <w:spacing w:line="360" w:lineRule="auto"/>
        <w:ind w:left="720" w:hanging="720"/>
        <w:jc w:val="both"/>
      </w:pPr>
      <w:r w:rsidRPr="00454D5E">
        <w:rPr>
          <w:rFonts w:eastAsia="Calibri"/>
          <w:lang w:val="en-US"/>
        </w:rPr>
        <w:t xml:space="preserve">Castellanos, R. y Rojas, M. (2018). </w:t>
      </w:r>
      <w:r w:rsidRPr="00454D5E">
        <w:rPr>
          <w:rFonts w:eastAsia="Calibri"/>
        </w:rPr>
        <w:t xml:space="preserve">Bienestar subjetivo como perspectiva del progreso social. En Millán, R. y Castellanos, R. (eds.), </w:t>
      </w:r>
      <w:r w:rsidRPr="00454D5E">
        <w:rPr>
          <w:rFonts w:eastAsia="Calibri"/>
          <w:i/>
          <w:iCs/>
        </w:rPr>
        <w:t>Bienestar subjetivo en México</w:t>
      </w:r>
      <w:r w:rsidRPr="00454D5E">
        <w:rPr>
          <w:rFonts w:eastAsia="Calibri"/>
        </w:rPr>
        <w:t xml:space="preserve"> (pp. 21–53). Ciudad de México, México: Instituto de Investigaciones Sociales.</w:t>
      </w:r>
    </w:p>
    <w:p w14:paraId="31100B8F" w14:textId="77777777" w:rsidR="000679BA" w:rsidRPr="00454D5E" w:rsidRDefault="000679BA" w:rsidP="002C1A26">
      <w:pPr>
        <w:spacing w:line="360" w:lineRule="auto"/>
        <w:ind w:left="720" w:hanging="720"/>
        <w:jc w:val="both"/>
        <w:rPr>
          <w:rFonts w:eastAsia="Calibri"/>
        </w:rPr>
      </w:pPr>
      <w:r w:rsidRPr="00454D5E">
        <w:rPr>
          <w:rFonts w:eastAsia="Calibri"/>
        </w:rPr>
        <w:lastRenderedPageBreak/>
        <w:t xml:space="preserve">Castilla, A. (2014). Optimización del talento en las organizaciones: una mirada desde la realidad de la dirección de RR. HH. </w:t>
      </w:r>
      <w:r w:rsidRPr="00454D5E">
        <w:rPr>
          <w:rFonts w:eastAsia="Calibri"/>
          <w:i/>
          <w:iCs/>
        </w:rPr>
        <w:t>Athenea Digital</w:t>
      </w:r>
      <w:r w:rsidRPr="00454D5E">
        <w:rPr>
          <w:rFonts w:eastAsia="Calibri"/>
        </w:rPr>
        <w:t xml:space="preserve">, </w:t>
      </w:r>
      <w:r w:rsidRPr="00454D5E">
        <w:rPr>
          <w:rFonts w:eastAsia="Calibri"/>
          <w:i/>
          <w:iCs/>
        </w:rPr>
        <w:t>14</w:t>
      </w:r>
      <w:r w:rsidRPr="00454D5E">
        <w:rPr>
          <w:rFonts w:eastAsia="Calibri"/>
        </w:rPr>
        <w:t>(2), 285–291.</w:t>
      </w:r>
    </w:p>
    <w:p w14:paraId="4F983ACD" w14:textId="77777777" w:rsidR="000679BA" w:rsidRPr="00454D5E" w:rsidRDefault="000679BA" w:rsidP="002C1A26">
      <w:pPr>
        <w:spacing w:line="360" w:lineRule="auto"/>
        <w:ind w:left="720" w:hanging="720"/>
        <w:jc w:val="both"/>
        <w:rPr>
          <w:lang w:val="en-US"/>
        </w:rPr>
      </w:pPr>
      <w:r w:rsidRPr="00454D5E">
        <w:rPr>
          <w:rFonts w:eastAsia="Calibri"/>
        </w:rPr>
        <w:t xml:space="preserve">Comisión Económica Para América Latina y el Caribe [Cepal] (2018). </w:t>
      </w:r>
      <w:r w:rsidRPr="00454D5E">
        <w:rPr>
          <w:rFonts w:eastAsia="Calibri"/>
          <w:i/>
          <w:iCs/>
        </w:rPr>
        <w:t>Perspectivas económicas de América Latina 2018 Repensando las instituciones para el desarrollo</w:t>
      </w:r>
      <w:r w:rsidRPr="00454D5E">
        <w:rPr>
          <w:rFonts w:eastAsia="Calibri"/>
        </w:rPr>
        <w:t xml:space="preserve">. </w:t>
      </w:r>
      <w:r w:rsidRPr="00454D5E">
        <w:rPr>
          <w:rFonts w:eastAsia="Calibri"/>
          <w:lang w:val="en-US"/>
        </w:rPr>
        <w:t>París: Éditions OCDE.</w:t>
      </w:r>
    </w:p>
    <w:p w14:paraId="175B14F9" w14:textId="0EB5F2A2" w:rsidR="000679BA" w:rsidRPr="00730456" w:rsidRDefault="000679BA" w:rsidP="002C1A26">
      <w:pPr>
        <w:spacing w:line="360" w:lineRule="auto"/>
        <w:ind w:left="720" w:hanging="720"/>
        <w:jc w:val="both"/>
        <w:rPr>
          <w:lang w:val="en-US"/>
        </w:rPr>
      </w:pPr>
      <w:r w:rsidRPr="00454D5E">
        <w:rPr>
          <w:rFonts w:eastAsia="Calibri"/>
          <w:lang w:val="en-US"/>
        </w:rPr>
        <w:t xml:space="preserve">Cook, J. and Wall, T. (1980). New work attitude measures of trust, organizational commitment and personal need non-fulfilment. </w:t>
      </w:r>
      <w:r w:rsidRPr="00454D5E">
        <w:rPr>
          <w:rFonts w:eastAsia="Calibri"/>
          <w:i/>
          <w:iCs/>
          <w:lang w:val="en-US"/>
        </w:rPr>
        <w:t>Journal of Occupational Psychology</w:t>
      </w:r>
      <w:r w:rsidRPr="00454D5E">
        <w:rPr>
          <w:rFonts w:eastAsia="Calibri"/>
          <w:lang w:val="en-US"/>
        </w:rPr>
        <w:t xml:space="preserve">, </w:t>
      </w:r>
      <w:r w:rsidRPr="00454D5E">
        <w:rPr>
          <w:rFonts w:eastAsia="Calibri"/>
          <w:i/>
          <w:iCs/>
          <w:lang w:val="en-US"/>
        </w:rPr>
        <w:t>53</w:t>
      </w:r>
      <w:r w:rsidRPr="00454D5E">
        <w:rPr>
          <w:rFonts w:eastAsia="Calibri"/>
          <w:lang w:val="en-US"/>
        </w:rPr>
        <w:t>(1), 39–52. Doi: https://doi.org/10.1111/j.2044-8325.1980.tb00005.x</w:t>
      </w:r>
    </w:p>
    <w:p w14:paraId="1C404D1B" w14:textId="77777777" w:rsidR="000679BA" w:rsidRPr="00454D5E" w:rsidRDefault="000679BA" w:rsidP="002C1A26">
      <w:pPr>
        <w:spacing w:line="360" w:lineRule="auto"/>
        <w:ind w:left="720" w:hanging="720"/>
        <w:jc w:val="both"/>
        <w:rPr>
          <w:lang w:val="en-US"/>
        </w:rPr>
      </w:pPr>
      <w:r w:rsidRPr="00454D5E">
        <w:rPr>
          <w:rFonts w:eastAsia="Calibri"/>
          <w:lang w:val="en-US"/>
        </w:rPr>
        <w:t xml:space="preserve">Dagenais-Desmarais, V. and Savoie, A. (2011). What is Psychological Well-Being, Really? A Grassroots Approach from the Organizational Sciences. </w:t>
      </w:r>
      <w:r w:rsidRPr="00454D5E">
        <w:rPr>
          <w:rFonts w:eastAsia="Calibri"/>
          <w:i/>
          <w:iCs/>
          <w:lang w:val="en-US"/>
        </w:rPr>
        <w:t>Journal of Happiness Studies</w:t>
      </w:r>
      <w:r w:rsidRPr="00454D5E">
        <w:rPr>
          <w:rFonts w:eastAsia="Calibri"/>
          <w:lang w:val="en-US"/>
        </w:rPr>
        <w:t xml:space="preserve">, </w:t>
      </w:r>
      <w:r w:rsidRPr="00454D5E">
        <w:rPr>
          <w:rFonts w:eastAsia="Calibri"/>
          <w:i/>
          <w:iCs/>
          <w:lang w:val="en-US"/>
        </w:rPr>
        <w:t>13</w:t>
      </w:r>
      <w:r w:rsidRPr="00454D5E">
        <w:rPr>
          <w:rFonts w:eastAsia="Calibri"/>
          <w:lang w:val="en-US"/>
        </w:rPr>
        <w:t>(4), 659–684. https://doi.org/10.1007/s10902-011-9285-3</w:t>
      </w:r>
    </w:p>
    <w:p w14:paraId="69DAC492" w14:textId="41A7B44D" w:rsidR="000679BA" w:rsidRPr="00454D5E" w:rsidRDefault="000679BA" w:rsidP="002C1A26">
      <w:pPr>
        <w:spacing w:line="360" w:lineRule="auto"/>
        <w:ind w:left="720" w:hanging="720"/>
        <w:jc w:val="both"/>
        <w:rPr>
          <w:lang w:val="en-US"/>
        </w:rPr>
      </w:pPr>
      <w:r w:rsidRPr="00454D5E">
        <w:rPr>
          <w:rFonts w:eastAsia="Calibri"/>
          <w:lang w:val="en-US"/>
        </w:rPr>
        <w:t xml:space="preserve">Diener, E. and Biswas-Diener, R. (2002). Will money increase subjective well-being? </w:t>
      </w:r>
      <w:r w:rsidRPr="00454D5E">
        <w:rPr>
          <w:shd w:val="clear" w:color="auto" w:fill="FFFFFF"/>
          <w:lang w:val="en-US"/>
        </w:rPr>
        <w:t>A literature review and guide to needed research.</w:t>
      </w:r>
      <w:r w:rsidRPr="00454D5E">
        <w:rPr>
          <w:rFonts w:eastAsia="Calibri"/>
          <w:i/>
          <w:iCs/>
          <w:lang w:val="en-US"/>
        </w:rPr>
        <w:t xml:space="preserve"> Social Indicators Research</w:t>
      </w:r>
      <w:r w:rsidRPr="00454D5E">
        <w:rPr>
          <w:rFonts w:eastAsia="Calibri"/>
          <w:lang w:val="en-US"/>
        </w:rPr>
        <w:t xml:space="preserve">, </w:t>
      </w:r>
      <w:r w:rsidRPr="00454D5E">
        <w:rPr>
          <w:rFonts w:eastAsia="Calibri"/>
          <w:i/>
          <w:iCs/>
          <w:lang w:val="en-US"/>
        </w:rPr>
        <w:t>57</w:t>
      </w:r>
      <w:r w:rsidRPr="00454D5E">
        <w:rPr>
          <w:rFonts w:eastAsia="Calibri"/>
          <w:lang w:val="en-US"/>
        </w:rPr>
        <w:t xml:space="preserve">(2), 119–169. Doi: </w:t>
      </w:r>
      <w:r w:rsidRPr="00D35C7B">
        <w:rPr>
          <w:rFonts w:eastAsia="Calibri"/>
          <w:lang w:val="en-US"/>
        </w:rPr>
        <w:t>https://doi.org/10.1023/a:1014411319119</w:t>
      </w:r>
      <w:r w:rsidRPr="00454D5E">
        <w:rPr>
          <w:rFonts w:eastAsia="Calibri"/>
          <w:lang w:val="en-US"/>
        </w:rPr>
        <w:t xml:space="preserve"> </w:t>
      </w:r>
    </w:p>
    <w:p w14:paraId="08B404FC" w14:textId="77777777" w:rsidR="000679BA" w:rsidRPr="00454D5E" w:rsidRDefault="000679BA" w:rsidP="002C1A26">
      <w:pPr>
        <w:spacing w:line="360" w:lineRule="auto"/>
        <w:ind w:left="720" w:hanging="720"/>
        <w:jc w:val="both"/>
        <w:rPr>
          <w:rFonts w:eastAsia="Calibri"/>
          <w:lang w:val="es-VE"/>
        </w:rPr>
      </w:pPr>
      <w:r w:rsidRPr="00454D5E">
        <w:rPr>
          <w:rFonts w:eastAsia="Calibri"/>
          <w:lang w:val="en-US"/>
        </w:rPr>
        <w:t xml:space="preserve">Diener, E. and Seligman, M. (2004). Beyond money: toward an economy of well-being. </w:t>
      </w:r>
      <w:r w:rsidRPr="00454D5E">
        <w:rPr>
          <w:rFonts w:eastAsia="Calibri"/>
          <w:i/>
          <w:lang w:val="es-VE"/>
        </w:rPr>
        <w:t>P</w:t>
      </w:r>
      <w:r w:rsidRPr="00454D5E">
        <w:rPr>
          <w:rFonts w:eastAsia="Calibri"/>
          <w:i/>
          <w:iCs/>
          <w:lang w:val="es-VE"/>
        </w:rPr>
        <w:t>sychological Science in the Public Interest</w:t>
      </w:r>
      <w:r w:rsidRPr="00454D5E">
        <w:rPr>
          <w:rFonts w:eastAsia="Calibri"/>
          <w:lang w:val="es-VE"/>
        </w:rPr>
        <w:t xml:space="preserve">, </w:t>
      </w:r>
      <w:r w:rsidRPr="00454D5E">
        <w:rPr>
          <w:rFonts w:eastAsia="Calibri"/>
          <w:i/>
          <w:iCs/>
          <w:lang w:val="es-VE"/>
        </w:rPr>
        <w:t>5</w:t>
      </w:r>
      <w:r w:rsidRPr="00454D5E">
        <w:rPr>
          <w:rFonts w:eastAsia="Calibri"/>
          <w:lang w:val="es-VE"/>
        </w:rPr>
        <w:t>(1), 1–25.</w:t>
      </w:r>
    </w:p>
    <w:p w14:paraId="7D2FF941" w14:textId="77777777" w:rsidR="000679BA" w:rsidRPr="00454D5E" w:rsidRDefault="000679BA" w:rsidP="002C1A26">
      <w:pPr>
        <w:spacing w:line="360" w:lineRule="auto"/>
        <w:ind w:left="720" w:hanging="720"/>
        <w:jc w:val="both"/>
        <w:rPr>
          <w:lang w:val="es-VE"/>
        </w:rPr>
      </w:pPr>
      <w:r w:rsidRPr="00454D5E">
        <w:rPr>
          <w:rFonts w:eastAsia="Calibri"/>
          <w:lang w:val="es-VE"/>
        </w:rPr>
        <w:t>García, C. (19</w:t>
      </w:r>
      <w:r w:rsidRPr="00454D5E">
        <w:rPr>
          <w:rFonts w:eastAsia="Calibri"/>
        </w:rPr>
        <w:t xml:space="preserve">99). Manual para la utilización del cuestionario de salud general de Goldberg. </w:t>
      </w:r>
      <w:r w:rsidRPr="00454D5E">
        <w:rPr>
          <w:rFonts w:eastAsia="Calibri"/>
          <w:lang w:val="es-VE"/>
        </w:rPr>
        <w:t xml:space="preserve">Adaptación cubana. </w:t>
      </w:r>
      <w:r w:rsidRPr="00454D5E">
        <w:rPr>
          <w:rFonts w:eastAsia="Calibri"/>
          <w:i/>
          <w:iCs/>
          <w:lang w:val="es-VE"/>
        </w:rPr>
        <w:t>Revista Cubana de Medicina General Integral</w:t>
      </w:r>
      <w:r w:rsidRPr="00454D5E">
        <w:rPr>
          <w:rFonts w:eastAsia="Calibri"/>
          <w:lang w:val="es-VE"/>
        </w:rPr>
        <w:t xml:space="preserve">, </w:t>
      </w:r>
      <w:r w:rsidRPr="00454D5E">
        <w:rPr>
          <w:rFonts w:eastAsia="Calibri"/>
          <w:i/>
          <w:iCs/>
          <w:lang w:val="es-VE"/>
        </w:rPr>
        <w:t>15</w:t>
      </w:r>
      <w:r w:rsidRPr="00454D5E">
        <w:rPr>
          <w:rFonts w:eastAsia="Calibri"/>
          <w:iCs/>
          <w:lang w:val="es-VE"/>
        </w:rPr>
        <w:t>(1)</w:t>
      </w:r>
      <w:r w:rsidRPr="00454D5E">
        <w:rPr>
          <w:rFonts w:eastAsia="Calibri"/>
          <w:lang w:val="es-VE"/>
        </w:rPr>
        <w:t>, 88–97.</w:t>
      </w:r>
    </w:p>
    <w:p w14:paraId="347A3E48" w14:textId="38FFB71C" w:rsidR="000679BA" w:rsidRPr="00454D5E" w:rsidRDefault="000679BA" w:rsidP="002C1A26">
      <w:pPr>
        <w:spacing w:line="360" w:lineRule="auto"/>
        <w:ind w:left="720" w:hanging="720"/>
        <w:jc w:val="both"/>
        <w:rPr>
          <w:lang w:val="es-VE"/>
        </w:rPr>
      </w:pPr>
      <w:r w:rsidRPr="00B4315C">
        <w:rPr>
          <w:rFonts w:eastAsia="Calibri"/>
          <w:lang w:val="en-US"/>
        </w:rPr>
        <w:t xml:space="preserve">Gilstrap, J. B., y Collins, B. J. (2012). </w:t>
      </w:r>
      <w:r w:rsidRPr="00454D5E">
        <w:rPr>
          <w:rFonts w:eastAsia="Calibri"/>
          <w:lang w:val="en-US"/>
        </w:rPr>
        <w:t xml:space="preserve">The Importance of Being Trustworthy. </w:t>
      </w:r>
      <w:r w:rsidRPr="00454D5E">
        <w:rPr>
          <w:rFonts w:eastAsia="Calibri"/>
          <w:i/>
          <w:iCs/>
          <w:lang w:val="es-VE"/>
        </w:rPr>
        <w:t>Journal of Leadership &amp; Organizational Studies</w:t>
      </w:r>
      <w:r w:rsidRPr="00454D5E">
        <w:rPr>
          <w:rFonts w:eastAsia="Calibri"/>
          <w:lang w:val="es-VE"/>
        </w:rPr>
        <w:t xml:space="preserve">, </w:t>
      </w:r>
      <w:r w:rsidRPr="00454D5E">
        <w:rPr>
          <w:rFonts w:eastAsia="Calibri"/>
          <w:i/>
          <w:iCs/>
          <w:lang w:val="es-VE"/>
        </w:rPr>
        <w:t>19</w:t>
      </w:r>
      <w:r w:rsidRPr="00454D5E">
        <w:rPr>
          <w:rFonts w:eastAsia="Calibri"/>
          <w:lang w:val="es-VE"/>
        </w:rPr>
        <w:t xml:space="preserve">(2), 152–163. </w:t>
      </w:r>
      <w:proofErr w:type="spellStart"/>
      <w:r w:rsidRPr="00454D5E">
        <w:rPr>
          <w:rFonts w:eastAsia="Calibri"/>
          <w:lang w:val="es-VE"/>
        </w:rPr>
        <w:t>Doi</w:t>
      </w:r>
      <w:proofErr w:type="spellEnd"/>
      <w:r w:rsidRPr="00454D5E">
        <w:rPr>
          <w:rFonts w:eastAsia="Calibri"/>
          <w:lang w:val="es-VE"/>
        </w:rPr>
        <w:t xml:space="preserve">: </w:t>
      </w:r>
      <w:r w:rsidRPr="00D35C7B">
        <w:rPr>
          <w:rFonts w:eastAsia="Calibri"/>
          <w:lang w:val="es-VE"/>
        </w:rPr>
        <w:t>https://doi.org/10.1177/1548051811431827</w:t>
      </w:r>
      <w:r w:rsidRPr="00454D5E">
        <w:rPr>
          <w:rFonts w:eastAsia="Calibri"/>
          <w:lang w:val="es-VE"/>
        </w:rPr>
        <w:t xml:space="preserve"> </w:t>
      </w:r>
    </w:p>
    <w:p w14:paraId="50B419CF" w14:textId="77777777" w:rsidR="000679BA" w:rsidRPr="00454D5E" w:rsidRDefault="000679BA" w:rsidP="002C1A26">
      <w:pPr>
        <w:spacing w:line="360" w:lineRule="auto"/>
        <w:ind w:left="720" w:hanging="720"/>
        <w:jc w:val="both"/>
      </w:pPr>
      <w:r w:rsidRPr="00454D5E">
        <w:rPr>
          <w:rFonts w:eastAsia="Calibri"/>
          <w:lang w:val="es-VE"/>
        </w:rPr>
        <w:t xml:space="preserve">Gobierno del Estado de Durango </w:t>
      </w:r>
      <w:r w:rsidRPr="00454D5E">
        <w:rPr>
          <w:rFonts w:eastAsia="Calibri"/>
        </w:rPr>
        <w:t xml:space="preserve">(2016). </w:t>
      </w:r>
      <w:r w:rsidRPr="00454D5E">
        <w:rPr>
          <w:rFonts w:eastAsia="Calibri"/>
          <w:i/>
          <w:iCs/>
        </w:rPr>
        <w:t>Plan Estatal de Desarrollo, 2016-2022</w:t>
      </w:r>
      <w:r w:rsidRPr="00454D5E">
        <w:rPr>
          <w:rFonts w:eastAsia="Calibri"/>
        </w:rPr>
        <w:t xml:space="preserve"> (ed. rev.). Durango, México: Gobierno del Estado de Durango.</w:t>
      </w:r>
    </w:p>
    <w:p w14:paraId="284F093F" w14:textId="77777777" w:rsidR="000679BA" w:rsidRPr="00454D5E" w:rsidRDefault="000679BA" w:rsidP="002C1A26">
      <w:pPr>
        <w:spacing w:line="360" w:lineRule="auto"/>
        <w:ind w:left="720" w:hanging="720"/>
        <w:jc w:val="both"/>
      </w:pPr>
      <w:r w:rsidRPr="00B4315C">
        <w:rPr>
          <w:rFonts w:eastAsia="Calibri"/>
          <w:lang w:val="en-US"/>
        </w:rPr>
        <w:t xml:space="preserve">Goldberg, D. P. (1972). </w:t>
      </w:r>
      <w:r w:rsidRPr="00454D5E">
        <w:rPr>
          <w:rFonts w:eastAsia="Calibri"/>
          <w:i/>
          <w:iCs/>
          <w:lang w:val="en-US"/>
        </w:rPr>
        <w:t>The detection of psychiatric illness by questionnaire: A technique for the identification and assessment of non-psychotic psychiatric illness</w:t>
      </w:r>
      <w:r w:rsidRPr="00454D5E">
        <w:rPr>
          <w:rFonts w:eastAsia="Calibri"/>
          <w:lang w:val="en-US"/>
        </w:rPr>
        <w:t xml:space="preserve"> (rev. ed.). </w:t>
      </w:r>
      <w:r w:rsidRPr="00454D5E">
        <w:rPr>
          <w:rFonts w:eastAsia="Calibri"/>
        </w:rPr>
        <w:t>Oxford, England: Oxford University Press.</w:t>
      </w:r>
    </w:p>
    <w:p w14:paraId="7B2270B4" w14:textId="77777777" w:rsidR="000679BA" w:rsidRPr="00454D5E" w:rsidRDefault="000679BA" w:rsidP="002C1A26">
      <w:pPr>
        <w:spacing w:line="360" w:lineRule="auto"/>
        <w:ind w:left="720" w:hanging="720"/>
        <w:jc w:val="both"/>
        <w:rPr>
          <w:rFonts w:eastAsia="Calibri"/>
        </w:rPr>
      </w:pPr>
      <w:r w:rsidRPr="00454D5E">
        <w:rPr>
          <w:rFonts w:eastAsia="Calibri"/>
        </w:rPr>
        <w:t xml:space="preserve">Instituto Nacional de Geografía y Estadística [Inegi] (2018). </w:t>
      </w:r>
      <w:r w:rsidRPr="00454D5E">
        <w:rPr>
          <w:rFonts w:eastAsia="Calibri"/>
          <w:i/>
        </w:rPr>
        <w:t>Encuesta nacional sobre productividad y competitividad de las micro, pequeñas y medianas empresas (ENAPROCE)</w:t>
      </w:r>
      <w:r w:rsidRPr="00454D5E">
        <w:rPr>
          <w:rFonts w:eastAsia="Calibri"/>
        </w:rPr>
        <w:t xml:space="preserve">. Recuperado de </w:t>
      </w:r>
      <w:hyperlink r:id="rId11" w:history="1">
        <w:r w:rsidRPr="00454D5E">
          <w:rPr>
            <w:rStyle w:val="Hipervnculo"/>
            <w:rFonts w:eastAsia="Calibri"/>
            <w:color w:val="auto"/>
            <w:u w:val="none"/>
          </w:rPr>
          <w:t>http://www.inegi.org.mx/est/contenidos/proyectos/encuestas/establecimientos/otras/enaproce/</w:t>
        </w:r>
      </w:hyperlink>
      <w:r w:rsidRPr="00454D5E">
        <w:rPr>
          <w:rStyle w:val="Hipervnculo"/>
          <w:rFonts w:eastAsia="Calibri"/>
          <w:color w:val="auto"/>
          <w:u w:val="none"/>
        </w:rPr>
        <w:t xml:space="preserve"> </w:t>
      </w:r>
    </w:p>
    <w:p w14:paraId="67F246CB" w14:textId="58219C38" w:rsidR="003C0177" w:rsidRDefault="000679BA" w:rsidP="002C1A26">
      <w:pPr>
        <w:pStyle w:val="Bibliografa"/>
        <w:ind w:left="720" w:hanging="720"/>
        <w:rPr>
          <w:rFonts w:cs="Times New Roman"/>
          <w:noProof/>
          <w:szCs w:val="24"/>
        </w:rPr>
      </w:pPr>
      <w:r w:rsidRPr="00454D5E">
        <w:rPr>
          <w:rFonts w:cs="Times New Roman"/>
          <w:noProof/>
          <w:szCs w:val="24"/>
        </w:rPr>
        <w:t xml:space="preserve">Lapo, M. (2015). El liderazgo y su evolución histórica. </w:t>
      </w:r>
      <w:r w:rsidRPr="00454D5E">
        <w:rPr>
          <w:rFonts w:cs="Times New Roman"/>
          <w:i/>
          <w:iCs/>
          <w:noProof/>
          <w:szCs w:val="24"/>
        </w:rPr>
        <w:t>Revista Empresarial, 9</w:t>
      </w:r>
      <w:r w:rsidRPr="00454D5E">
        <w:rPr>
          <w:rFonts w:cs="Times New Roman"/>
          <w:noProof/>
          <w:szCs w:val="24"/>
        </w:rPr>
        <w:t>(36), 11-16.</w:t>
      </w:r>
    </w:p>
    <w:p w14:paraId="1C72FBDE" w14:textId="77777777" w:rsidR="003C0177" w:rsidRPr="003C0177" w:rsidRDefault="003C0177" w:rsidP="002C1A26">
      <w:pPr>
        <w:spacing w:after="0" w:line="360" w:lineRule="auto"/>
        <w:jc w:val="both"/>
      </w:pPr>
    </w:p>
    <w:p w14:paraId="0FFA792E" w14:textId="77777777" w:rsidR="000679BA" w:rsidRPr="00454D5E" w:rsidRDefault="000679BA" w:rsidP="002C1A26">
      <w:pPr>
        <w:spacing w:line="360" w:lineRule="auto"/>
        <w:ind w:left="720" w:hanging="720"/>
        <w:jc w:val="both"/>
      </w:pPr>
      <w:r w:rsidRPr="00454D5E">
        <w:rPr>
          <w:rFonts w:eastAsia="Calibri"/>
        </w:rPr>
        <w:t xml:space="preserve">Llorens, S., Salanova, M. y Lasilla, J. (2009). Liderazgo transformacional y capital psicológico positivo: un estudio de caso en una empresa de construcción. </w:t>
      </w:r>
      <w:r w:rsidRPr="00454D5E">
        <w:rPr>
          <w:rFonts w:eastAsia="Calibri"/>
          <w:i/>
          <w:iCs/>
        </w:rPr>
        <w:t>Revista Directivos Construcción</w:t>
      </w:r>
      <w:r w:rsidRPr="00454D5E">
        <w:rPr>
          <w:rFonts w:eastAsia="Calibri"/>
        </w:rPr>
        <w:t>, (</w:t>
      </w:r>
      <w:r w:rsidRPr="00454D5E">
        <w:rPr>
          <w:rFonts w:eastAsia="Calibri"/>
          <w:iCs/>
        </w:rPr>
        <w:t>220)</w:t>
      </w:r>
      <w:r w:rsidRPr="00454D5E">
        <w:rPr>
          <w:rFonts w:eastAsia="Calibri"/>
        </w:rPr>
        <w:t>, 48–58.</w:t>
      </w:r>
    </w:p>
    <w:p w14:paraId="1707A65E" w14:textId="77777777" w:rsidR="000679BA" w:rsidRPr="00454D5E" w:rsidRDefault="000679BA" w:rsidP="002C1A26">
      <w:pPr>
        <w:spacing w:line="360" w:lineRule="auto"/>
        <w:ind w:left="720" w:hanging="720"/>
        <w:jc w:val="both"/>
      </w:pPr>
      <w:r w:rsidRPr="00454D5E">
        <w:rPr>
          <w:rFonts w:eastAsia="Calibri"/>
        </w:rPr>
        <w:t xml:space="preserve">Millán, R. y Castellanos, R. (2018). </w:t>
      </w:r>
      <w:r w:rsidRPr="00454D5E">
        <w:rPr>
          <w:rFonts w:eastAsia="Calibri"/>
          <w:i/>
          <w:iCs/>
        </w:rPr>
        <w:t>Bienestar subjetivo en México</w:t>
      </w:r>
      <w:r w:rsidRPr="00454D5E">
        <w:rPr>
          <w:rFonts w:eastAsia="Calibri"/>
        </w:rPr>
        <w:t>. Ciudad de México, México: Instituto de Investigaciones Sociales.</w:t>
      </w:r>
    </w:p>
    <w:p w14:paraId="1B8610A9" w14:textId="77777777" w:rsidR="000679BA" w:rsidRPr="00454D5E" w:rsidRDefault="000679BA" w:rsidP="002C1A26">
      <w:pPr>
        <w:spacing w:line="360" w:lineRule="auto"/>
        <w:ind w:left="720" w:hanging="720"/>
        <w:jc w:val="both"/>
        <w:rPr>
          <w:rFonts w:eastAsia="Calibri"/>
        </w:rPr>
      </w:pPr>
      <w:r w:rsidRPr="00454D5E">
        <w:rPr>
          <w:rFonts w:eastAsia="Calibri"/>
        </w:rPr>
        <w:t xml:space="preserve">Moreno, Z. e Ibarra, L. E. (2016). Fiabilidad y validez de la escala de felicidad de Lima en trabajadores de empresas de servicios. </w:t>
      </w:r>
      <w:r w:rsidRPr="00454D5E">
        <w:rPr>
          <w:rFonts w:eastAsia="Calibri"/>
          <w:i/>
          <w:iCs/>
        </w:rPr>
        <w:t>Desarrollo Gerencial</w:t>
      </w:r>
      <w:r w:rsidRPr="00454D5E">
        <w:rPr>
          <w:rFonts w:eastAsia="Calibri"/>
        </w:rPr>
        <w:t xml:space="preserve">, </w:t>
      </w:r>
      <w:r w:rsidRPr="00454D5E">
        <w:rPr>
          <w:rFonts w:eastAsia="Calibri"/>
          <w:i/>
          <w:iCs/>
        </w:rPr>
        <w:t>9</w:t>
      </w:r>
      <w:r w:rsidRPr="00454D5E">
        <w:rPr>
          <w:rFonts w:eastAsia="Calibri"/>
        </w:rPr>
        <w:t>(1), 16–34.</w:t>
      </w:r>
    </w:p>
    <w:p w14:paraId="0139D2D4" w14:textId="77777777" w:rsidR="000679BA" w:rsidRPr="00454D5E" w:rsidRDefault="000679BA" w:rsidP="002C1A26">
      <w:pPr>
        <w:spacing w:line="360" w:lineRule="auto"/>
        <w:ind w:left="720" w:hanging="720"/>
        <w:jc w:val="both"/>
      </w:pPr>
      <w:r w:rsidRPr="00454D5E">
        <w:rPr>
          <w:rFonts w:eastAsia="Calibri"/>
        </w:rPr>
        <w:t xml:space="preserve">Organización Internacional del Trabajo [OIT] (2018). </w:t>
      </w:r>
      <w:r w:rsidRPr="00454D5E">
        <w:rPr>
          <w:rFonts w:eastAsia="Calibri"/>
          <w:i/>
          <w:iCs/>
        </w:rPr>
        <w:t>Perspectivas sociales y del empleo en el mundo: Tendencias 2018</w:t>
      </w:r>
      <w:r w:rsidRPr="00454D5E">
        <w:rPr>
          <w:rFonts w:eastAsia="Calibri"/>
        </w:rPr>
        <w:t>. Recuperado de http://www.ilo.org/global/research/global-reports/weso/trends-for-women2018/WCMS_619603/lang--es/index.htm</w:t>
      </w:r>
    </w:p>
    <w:p w14:paraId="2259C1AB" w14:textId="081F9B59" w:rsidR="000679BA" w:rsidRPr="00454D5E" w:rsidRDefault="000679BA" w:rsidP="002C1A26">
      <w:pPr>
        <w:spacing w:line="360" w:lineRule="auto"/>
        <w:ind w:left="720" w:hanging="720"/>
        <w:jc w:val="both"/>
      </w:pPr>
      <w:r w:rsidRPr="00454D5E">
        <w:rPr>
          <w:rFonts w:eastAsia="Calibri"/>
        </w:rPr>
        <w:t xml:space="preserve">Organización para la Cooperación y el Desarrollo Económico [OCDE] (2018). Getting it Right: Prioridades estratégicas para México. </w:t>
      </w:r>
      <w:proofErr w:type="spellStart"/>
      <w:r w:rsidRPr="00454D5E">
        <w:rPr>
          <w:rFonts w:eastAsia="Calibri"/>
          <w:i/>
          <w:iCs/>
        </w:rPr>
        <w:t>Éditions</w:t>
      </w:r>
      <w:proofErr w:type="spellEnd"/>
      <w:r w:rsidRPr="00454D5E">
        <w:rPr>
          <w:rFonts w:eastAsia="Calibri"/>
          <w:i/>
          <w:iCs/>
        </w:rPr>
        <w:t xml:space="preserve"> OCDE</w:t>
      </w:r>
      <w:r w:rsidRPr="00454D5E">
        <w:rPr>
          <w:rFonts w:eastAsia="Calibri"/>
        </w:rPr>
        <w:t xml:space="preserve">, </w:t>
      </w:r>
      <w:proofErr w:type="spellStart"/>
      <w:r w:rsidRPr="00454D5E">
        <w:rPr>
          <w:rFonts w:eastAsia="Calibri"/>
        </w:rPr>
        <w:t>Doi</w:t>
      </w:r>
      <w:proofErr w:type="spellEnd"/>
      <w:r w:rsidRPr="00454D5E">
        <w:rPr>
          <w:rFonts w:eastAsia="Calibri"/>
        </w:rPr>
        <w:t xml:space="preserve">: </w:t>
      </w:r>
      <w:r w:rsidRPr="00D35C7B">
        <w:rPr>
          <w:rFonts w:eastAsia="Calibri"/>
        </w:rPr>
        <w:t>https://doi.org/10.1787/9789264292871-es</w:t>
      </w:r>
      <w:r w:rsidRPr="00454D5E">
        <w:rPr>
          <w:rFonts w:eastAsia="Calibri"/>
        </w:rPr>
        <w:t xml:space="preserve"> </w:t>
      </w:r>
    </w:p>
    <w:p w14:paraId="68678EDE" w14:textId="77777777" w:rsidR="000679BA" w:rsidRPr="00454D5E" w:rsidRDefault="000679BA" w:rsidP="002C1A26">
      <w:pPr>
        <w:spacing w:line="360" w:lineRule="auto"/>
        <w:ind w:left="720" w:hanging="720"/>
        <w:jc w:val="both"/>
        <w:rPr>
          <w:lang w:val="en-US"/>
        </w:rPr>
      </w:pPr>
      <w:r w:rsidRPr="00454D5E">
        <w:rPr>
          <w:rFonts w:eastAsia="Calibri"/>
        </w:rPr>
        <w:t xml:space="preserve">Peiró, J. M., Tordera, N., Lorente, L., Rodríguez, I. y Ayala, Y. (2014). Bienestar sostenible en el trabajo: revisión y reformulación. </w:t>
      </w:r>
      <w:r w:rsidRPr="00454D5E">
        <w:rPr>
          <w:rFonts w:eastAsia="Calibri"/>
          <w:i/>
          <w:iCs/>
        </w:rPr>
        <w:t>Papeles del Psicólogo</w:t>
      </w:r>
      <w:r w:rsidRPr="00454D5E">
        <w:rPr>
          <w:rFonts w:eastAsia="Calibri"/>
        </w:rPr>
        <w:t xml:space="preserve">, </w:t>
      </w:r>
      <w:r w:rsidRPr="00454D5E">
        <w:rPr>
          <w:rFonts w:eastAsia="Calibri"/>
          <w:i/>
          <w:iCs/>
        </w:rPr>
        <w:t>35</w:t>
      </w:r>
      <w:r w:rsidRPr="00454D5E">
        <w:rPr>
          <w:rFonts w:eastAsia="Calibri"/>
        </w:rPr>
        <w:t xml:space="preserve">(1), 5–14. </w:t>
      </w:r>
      <w:r w:rsidRPr="00454D5E">
        <w:rPr>
          <w:rFonts w:eastAsia="Calibri"/>
          <w:lang w:val="en-US"/>
        </w:rPr>
        <w:t>Retrieved from http://www.redalyc.org/articulo.oa?id=77830184002</w:t>
      </w:r>
    </w:p>
    <w:p w14:paraId="67E0C681" w14:textId="77777777" w:rsidR="000679BA" w:rsidRPr="00454D5E" w:rsidRDefault="000679BA" w:rsidP="002C1A26">
      <w:pPr>
        <w:spacing w:line="360" w:lineRule="auto"/>
        <w:ind w:left="720" w:hanging="720"/>
        <w:jc w:val="both"/>
        <w:rPr>
          <w:lang w:val="es-VE"/>
        </w:rPr>
      </w:pPr>
      <w:r w:rsidRPr="00B4315C">
        <w:rPr>
          <w:rFonts w:eastAsia="Calibri"/>
          <w:lang w:val="en-US"/>
        </w:rPr>
        <w:t xml:space="preserve">Perilla, L. E. y Gómez, V. (2017). </w:t>
      </w:r>
      <w:r w:rsidRPr="00454D5E">
        <w:rPr>
          <w:rFonts w:eastAsia="Calibri"/>
        </w:rPr>
        <w:t xml:space="preserve">Relación del estilo de liderazgo transformacional con la salud y el bienestar del empleado: el rol mediador de la confianza en el líder. </w:t>
      </w:r>
      <w:r w:rsidRPr="00454D5E">
        <w:rPr>
          <w:rFonts w:eastAsia="Calibri"/>
          <w:i/>
          <w:iCs/>
        </w:rPr>
        <w:t>Revista de Psicología del Trabajo y de las Organizaciones</w:t>
      </w:r>
      <w:r w:rsidRPr="00454D5E">
        <w:rPr>
          <w:rFonts w:eastAsia="Calibri"/>
        </w:rPr>
        <w:t xml:space="preserve">, </w:t>
      </w:r>
      <w:r w:rsidRPr="00454D5E">
        <w:rPr>
          <w:rFonts w:eastAsia="Calibri"/>
          <w:i/>
          <w:iCs/>
        </w:rPr>
        <w:t>33</w:t>
      </w:r>
      <w:r w:rsidRPr="00454D5E">
        <w:rPr>
          <w:rFonts w:eastAsia="Calibri"/>
        </w:rPr>
        <w:t xml:space="preserve">(2), 95-108. </w:t>
      </w:r>
      <w:r w:rsidRPr="00454D5E">
        <w:rPr>
          <w:rFonts w:eastAsia="Calibri"/>
          <w:lang w:val="es-VE"/>
        </w:rPr>
        <w:t>Doi: https://doi.org/10.1016/j.rpto.2017.02.005</w:t>
      </w:r>
    </w:p>
    <w:p w14:paraId="352C41F1" w14:textId="77777777" w:rsidR="000679BA" w:rsidRPr="00454D5E" w:rsidRDefault="000679BA" w:rsidP="002C1A26">
      <w:pPr>
        <w:spacing w:line="360" w:lineRule="auto"/>
        <w:ind w:left="720" w:hanging="720"/>
        <w:jc w:val="both"/>
        <w:rPr>
          <w:lang w:val="en-US"/>
        </w:rPr>
      </w:pPr>
      <w:r w:rsidRPr="00454D5E">
        <w:rPr>
          <w:rFonts w:eastAsia="Calibri"/>
          <w:lang w:val="en-US"/>
        </w:rPr>
        <w:t xml:space="preserve">Podsakoff, P. M., MacKenzie, S. B., Moorman, R. H. and Fetter, R. (1990). Transformational leader behaviors and their effects on followers' trust in leader, satisfaction, and organizational citizenship behaviors. </w:t>
      </w:r>
      <w:r w:rsidRPr="00454D5E">
        <w:rPr>
          <w:rFonts w:eastAsia="Calibri"/>
          <w:i/>
          <w:iCs/>
          <w:lang w:val="en-US"/>
        </w:rPr>
        <w:t>The Leadership Quarterly</w:t>
      </w:r>
      <w:r w:rsidRPr="00454D5E">
        <w:rPr>
          <w:rFonts w:eastAsia="Calibri"/>
          <w:lang w:val="en-US"/>
        </w:rPr>
        <w:t xml:space="preserve">, </w:t>
      </w:r>
      <w:r w:rsidRPr="00454D5E">
        <w:rPr>
          <w:rFonts w:eastAsia="Calibri"/>
          <w:i/>
          <w:iCs/>
          <w:lang w:val="en-US"/>
        </w:rPr>
        <w:t>1</w:t>
      </w:r>
      <w:r w:rsidRPr="00454D5E">
        <w:rPr>
          <w:rFonts w:eastAsia="Calibri"/>
          <w:lang w:val="en-US"/>
        </w:rPr>
        <w:t>(2), 107–142. https://doi.org/10.1016/1048-9843(90)90009-7</w:t>
      </w:r>
    </w:p>
    <w:p w14:paraId="2BA78DDD" w14:textId="5F2F340A" w:rsidR="000679BA" w:rsidRPr="00C42FA8" w:rsidRDefault="000679BA" w:rsidP="002C1A26">
      <w:pPr>
        <w:spacing w:line="360" w:lineRule="auto"/>
        <w:ind w:left="720" w:hanging="720"/>
        <w:jc w:val="both"/>
      </w:pPr>
      <w:r w:rsidRPr="00454D5E">
        <w:rPr>
          <w:rFonts w:eastAsia="Calibri"/>
          <w:lang w:val="en-US"/>
        </w:rPr>
        <w:lastRenderedPageBreak/>
        <w:t xml:space="preserve">Posada, R., Aguilar, O. C. y Peña, N. B. (2016). </w:t>
      </w:r>
      <w:r w:rsidRPr="00454D5E">
        <w:rPr>
          <w:rFonts w:eastAsia="Calibri"/>
          <w:i/>
          <w:iCs/>
        </w:rPr>
        <w:t>Análisis sistémico de la micro y pequeña empresa en México</w:t>
      </w:r>
      <w:r w:rsidRPr="00454D5E">
        <w:rPr>
          <w:rFonts w:eastAsia="Calibri"/>
        </w:rPr>
        <w:t>. México, México: Pearson.</w:t>
      </w:r>
    </w:p>
    <w:p w14:paraId="55FA200A" w14:textId="77777777" w:rsidR="000679BA" w:rsidRPr="00454D5E" w:rsidRDefault="000679BA" w:rsidP="002C1A26">
      <w:pPr>
        <w:spacing w:line="360" w:lineRule="auto"/>
        <w:ind w:left="720" w:hanging="720"/>
        <w:jc w:val="both"/>
      </w:pPr>
      <w:r w:rsidRPr="00454D5E">
        <w:rPr>
          <w:rFonts w:eastAsia="Calibri"/>
        </w:rPr>
        <w:t xml:space="preserve">Salanova, M. (2008). Organizaciones saludables: una perspectiva desde la psicología positiva. En Vázquez, C. y Hervás, G. (eds.), </w:t>
      </w:r>
      <w:r w:rsidRPr="00454D5E">
        <w:rPr>
          <w:rFonts w:eastAsia="Calibri"/>
          <w:i/>
          <w:iCs/>
        </w:rPr>
        <w:t>Psicología positiva aplicada</w:t>
      </w:r>
      <w:r w:rsidRPr="00454D5E">
        <w:rPr>
          <w:rFonts w:eastAsia="Calibri"/>
        </w:rPr>
        <w:t xml:space="preserve"> (rev. ed., pp. 1–15). Bilbao, Bilbao: Desclée de Brouwer.</w:t>
      </w:r>
    </w:p>
    <w:p w14:paraId="77AC07C8" w14:textId="77777777" w:rsidR="000679BA" w:rsidRPr="00454D5E" w:rsidRDefault="000679BA" w:rsidP="002C1A26">
      <w:pPr>
        <w:spacing w:line="360" w:lineRule="auto"/>
        <w:ind w:left="720" w:hanging="720"/>
        <w:jc w:val="both"/>
        <w:rPr>
          <w:rFonts w:eastAsia="Calibri"/>
        </w:rPr>
      </w:pPr>
      <w:r w:rsidRPr="00454D5E">
        <w:rPr>
          <w:rFonts w:eastAsia="Calibri"/>
        </w:rPr>
        <w:t xml:space="preserve">Sansores, E. A. y Navarrete, J. E. (2018). Crecimiento de las micro, pequeñas y mediana empresas: un análisis de los factores determinantes. </w:t>
      </w:r>
      <w:r w:rsidRPr="00454D5E">
        <w:rPr>
          <w:rFonts w:eastAsia="Calibri"/>
          <w:i/>
          <w:iCs/>
        </w:rPr>
        <w:t>Revista Venezolana de Gerencia, 23</w:t>
      </w:r>
      <w:r w:rsidRPr="00454D5E">
        <w:rPr>
          <w:rFonts w:eastAsia="Calibri"/>
          <w:iCs/>
        </w:rPr>
        <w:t>(81),</w:t>
      </w:r>
      <w:r w:rsidRPr="00454D5E">
        <w:rPr>
          <w:rFonts w:eastAsia="Calibri"/>
        </w:rPr>
        <w:t xml:space="preserve"> 1–33. Recuperado de </w:t>
      </w:r>
      <w:hyperlink r:id="rId12" w:history="1">
        <w:r w:rsidRPr="00454D5E">
          <w:rPr>
            <w:rStyle w:val="Hipervnculo"/>
            <w:rFonts w:eastAsia="Calibri"/>
            <w:color w:val="auto"/>
            <w:u w:val="none"/>
          </w:rPr>
          <w:t>http://www.redalyc.org/jatsRepo/290/29055767010/index.html</w:t>
        </w:r>
      </w:hyperlink>
    </w:p>
    <w:p w14:paraId="1DB36FEE" w14:textId="77777777" w:rsidR="000679BA" w:rsidRPr="00454D5E" w:rsidRDefault="000679BA" w:rsidP="002C1A26">
      <w:pPr>
        <w:spacing w:line="360" w:lineRule="auto"/>
        <w:ind w:left="720" w:hanging="720"/>
        <w:jc w:val="both"/>
        <w:rPr>
          <w:rFonts w:eastAsia="Calibri"/>
          <w:lang w:val="en-US"/>
        </w:rPr>
      </w:pPr>
      <w:r w:rsidRPr="00454D5E">
        <w:rPr>
          <w:rFonts w:eastAsia="Calibri"/>
          <w:lang w:val="en-US"/>
        </w:rPr>
        <w:t xml:space="preserve">Seligman, M., Ernst, R., Gillham, J., Reivich, K. and Linkins, M. (2009). Positive education: Positive psychology and classroom interventions. </w:t>
      </w:r>
      <w:r w:rsidRPr="00454D5E">
        <w:rPr>
          <w:rFonts w:eastAsia="Calibri"/>
          <w:i/>
          <w:iCs/>
          <w:lang w:val="en-US"/>
        </w:rPr>
        <w:t>Oxford Review of Education</w:t>
      </w:r>
      <w:r w:rsidRPr="00454D5E">
        <w:rPr>
          <w:rFonts w:eastAsia="Calibri"/>
          <w:lang w:val="en-US"/>
        </w:rPr>
        <w:t xml:space="preserve">, </w:t>
      </w:r>
      <w:r w:rsidRPr="00454D5E">
        <w:rPr>
          <w:rFonts w:eastAsia="Calibri"/>
          <w:i/>
          <w:iCs/>
          <w:lang w:val="en-US"/>
        </w:rPr>
        <w:t>35</w:t>
      </w:r>
      <w:r w:rsidRPr="00454D5E">
        <w:rPr>
          <w:rFonts w:eastAsia="Calibri"/>
          <w:iCs/>
          <w:lang w:val="en-US"/>
        </w:rPr>
        <w:t>(3)</w:t>
      </w:r>
      <w:r w:rsidRPr="00454D5E">
        <w:rPr>
          <w:rFonts w:eastAsia="Calibri"/>
          <w:lang w:val="en-US"/>
        </w:rPr>
        <w:t>, 293–311.</w:t>
      </w:r>
    </w:p>
    <w:p w14:paraId="07D9C313" w14:textId="77777777" w:rsidR="000679BA" w:rsidRDefault="000679BA" w:rsidP="002C1A26">
      <w:pPr>
        <w:spacing w:line="360" w:lineRule="auto"/>
        <w:ind w:left="720" w:hanging="720"/>
        <w:jc w:val="both"/>
        <w:rPr>
          <w:shd w:val="clear" w:color="auto" w:fill="FFFFFF"/>
          <w:lang w:val="en-US"/>
        </w:rPr>
      </w:pPr>
      <w:r w:rsidRPr="00454D5E">
        <w:rPr>
          <w:rFonts w:eastAsia="Calibri"/>
          <w:lang w:val="en-US"/>
        </w:rPr>
        <w:t xml:space="preserve">Sivanathan, N., Arnold, K., Turner, N. and Barling, J. (2004). Leading Well: Transformational Leadership and Well-Being. </w:t>
      </w:r>
      <w:r w:rsidRPr="00454D5E">
        <w:rPr>
          <w:shd w:val="clear" w:color="auto" w:fill="FFFFFF"/>
          <w:lang w:val="en-US"/>
        </w:rPr>
        <w:t>In Linley, P. A. and Joseph, S. (eds.), </w:t>
      </w:r>
      <w:r w:rsidRPr="00454D5E">
        <w:rPr>
          <w:rStyle w:val="nfasis"/>
          <w:shd w:val="clear" w:color="auto" w:fill="FFFFFF"/>
          <w:lang w:val="en-US"/>
        </w:rPr>
        <w:t>Positive psychology in practice</w:t>
      </w:r>
      <w:r w:rsidRPr="00454D5E">
        <w:rPr>
          <w:shd w:val="clear" w:color="auto" w:fill="FFFFFF"/>
          <w:lang w:val="en-US"/>
        </w:rPr>
        <w:t> (pp. 241-255). Hoboken, NJ, US: John Wiley &amp; Sons Inc.</w:t>
      </w:r>
    </w:p>
    <w:p w14:paraId="481D5990" w14:textId="3F976013" w:rsidR="000679BA" w:rsidRDefault="000679BA" w:rsidP="000679BA">
      <w:pPr>
        <w:spacing w:line="240" w:lineRule="auto"/>
        <w:ind w:left="720" w:hanging="720"/>
        <w:jc w:val="both"/>
        <w:rPr>
          <w:rFonts w:eastAsia="Calibri"/>
          <w:lang w:val="en-US"/>
        </w:rPr>
      </w:pPr>
    </w:p>
    <w:p w14:paraId="2D4DA254" w14:textId="165939CC" w:rsidR="00D35C7B" w:rsidRDefault="00D35C7B" w:rsidP="000679BA">
      <w:pPr>
        <w:spacing w:line="240" w:lineRule="auto"/>
        <w:ind w:left="720" w:hanging="720"/>
        <w:jc w:val="both"/>
        <w:rPr>
          <w:rFonts w:eastAsia="Calibri"/>
          <w:lang w:val="en-US"/>
        </w:rPr>
      </w:pPr>
    </w:p>
    <w:p w14:paraId="780B134F" w14:textId="5BF0B37C" w:rsidR="00D35C7B" w:rsidRDefault="00D35C7B" w:rsidP="000679BA">
      <w:pPr>
        <w:spacing w:line="240" w:lineRule="auto"/>
        <w:ind w:left="720" w:hanging="720"/>
        <w:jc w:val="both"/>
        <w:rPr>
          <w:rFonts w:eastAsia="Calibri"/>
          <w:lang w:val="en-US"/>
        </w:rPr>
      </w:pPr>
    </w:p>
    <w:p w14:paraId="3C228A91" w14:textId="142AB372" w:rsidR="00D35C7B" w:rsidRDefault="00D35C7B" w:rsidP="000679BA">
      <w:pPr>
        <w:spacing w:line="240" w:lineRule="auto"/>
        <w:ind w:left="720" w:hanging="720"/>
        <w:jc w:val="both"/>
        <w:rPr>
          <w:rFonts w:eastAsia="Calibri"/>
          <w:lang w:val="en-US"/>
        </w:rPr>
      </w:pPr>
    </w:p>
    <w:p w14:paraId="4532DCED" w14:textId="4B5258FF" w:rsidR="00D35C7B" w:rsidRDefault="00D35C7B" w:rsidP="000679BA">
      <w:pPr>
        <w:spacing w:line="240" w:lineRule="auto"/>
        <w:ind w:left="720" w:hanging="720"/>
        <w:jc w:val="both"/>
        <w:rPr>
          <w:rFonts w:eastAsia="Calibri"/>
          <w:lang w:val="en-US"/>
        </w:rPr>
      </w:pPr>
    </w:p>
    <w:p w14:paraId="312D13DE" w14:textId="295FEE56" w:rsidR="00D35C7B" w:rsidRDefault="00D35C7B" w:rsidP="000679BA">
      <w:pPr>
        <w:spacing w:line="240" w:lineRule="auto"/>
        <w:ind w:left="720" w:hanging="720"/>
        <w:jc w:val="both"/>
        <w:rPr>
          <w:rFonts w:eastAsia="Calibri"/>
          <w:lang w:val="en-US"/>
        </w:rPr>
      </w:pPr>
    </w:p>
    <w:p w14:paraId="6047260B" w14:textId="248B54CE" w:rsidR="00D35C7B" w:rsidRDefault="00D35C7B" w:rsidP="000679BA">
      <w:pPr>
        <w:spacing w:line="240" w:lineRule="auto"/>
        <w:ind w:left="720" w:hanging="720"/>
        <w:jc w:val="both"/>
        <w:rPr>
          <w:rFonts w:eastAsia="Calibri"/>
          <w:lang w:val="en-US"/>
        </w:rPr>
      </w:pPr>
    </w:p>
    <w:p w14:paraId="10413064" w14:textId="2FEA1FBB" w:rsidR="00D35C7B" w:rsidRDefault="00D35C7B" w:rsidP="000679BA">
      <w:pPr>
        <w:spacing w:line="240" w:lineRule="auto"/>
        <w:ind w:left="720" w:hanging="720"/>
        <w:jc w:val="both"/>
        <w:rPr>
          <w:rFonts w:eastAsia="Calibri"/>
          <w:lang w:val="en-US"/>
        </w:rPr>
      </w:pPr>
    </w:p>
    <w:p w14:paraId="43D013A3" w14:textId="208E31BA" w:rsidR="00D35C7B" w:rsidRDefault="00D35C7B" w:rsidP="000679BA">
      <w:pPr>
        <w:spacing w:line="240" w:lineRule="auto"/>
        <w:ind w:left="720" w:hanging="720"/>
        <w:jc w:val="both"/>
        <w:rPr>
          <w:rFonts w:eastAsia="Calibri"/>
          <w:lang w:val="en-US"/>
        </w:rPr>
      </w:pPr>
    </w:p>
    <w:p w14:paraId="0A167A6D" w14:textId="1B635083" w:rsidR="00D35C7B" w:rsidRDefault="00D35C7B" w:rsidP="000679BA">
      <w:pPr>
        <w:spacing w:line="240" w:lineRule="auto"/>
        <w:ind w:left="720" w:hanging="720"/>
        <w:jc w:val="both"/>
        <w:rPr>
          <w:rFonts w:eastAsia="Calibri"/>
          <w:lang w:val="en-US"/>
        </w:rPr>
      </w:pPr>
    </w:p>
    <w:p w14:paraId="4C146BCF" w14:textId="4678C335" w:rsidR="00D35C7B" w:rsidRDefault="00D35C7B" w:rsidP="000679BA">
      <w:pPr>
        <w:spacing w:line="240" w:lineRule="auto"/>
        <w:ind w:left="720" w:hanging="720"/>
        <w:jc w:val="both"/>
        <w:rPr>
          <w:rFonts w:eastAsia="Calibri"/>
          <w:lang w:val="en-US"/>
        </w:rPr>
      </w:pPr>
    </w:p>
    <w:p w14:paraId="21E5AE62" w14:textId="035FAF2F" w:rsidR="00D35C7B" w:rsidRDefault="00D35C7B" w:rsidP="000679BA">
      <w:pPr>
        <w:spacing w:line="240" w:lineRule="auto"/>
        <w:ind w:left="720" w:hanging="720"/>
        <w:jc w:val="both"/>
        <w:rPr>
          <w:rFonts w:eastAsia="Calibri"/>
          <w:lang w:val="en-US"/>
        </w:rPr>
      </w:pPr>
    </w:p>
    <w:p w14:paraId="08D05FCA" w14:textId="3CF78753" w:rsidR="00D35C7B" w:rsidRDefault="00D35C7B" w:rsidP="000679BA">
      <w:pPr>
        <w:spacing w:line="240" w:lineRule="auto"/>
        <w:ind w:left="720" w:hanging="720"/>
        <w:jc w:val="both"/>
        <w:rPr>
          <w:rFonts w:eastAsia="Calibri"/>
          <w:lang w:val="en-US"/>
        </w:rPr>
      </w:pPr>
    </w:p>
    <w:p w14:paraId="7FC77458" w14:textId="77777777" w:rsidR="00D35C7B" w:rsidRPr="00DF7C5F" w:rsidRDefault="00D35C7B" w:rsidP="000679BA">
      <w:pPr>
        <w:spacing w:line="240" w:lineRule="auto"/>
        <w:ind w:left="720" w:hanging="720"/>
        <w:jc w:val="both"/>
        <w:rPr>
          <w:rFonts w:eastAsia="Calibri"/>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35C7B" w:rsidRPr="00D35C7B" w14:paraId="28ADE6DB" w14:textId="77777777" w:rsidTr="00D42EC9">
        <w:tc>
          <w:tcPr>
            <w:tcW w:w="3045" w:type="dxa"/>
            <w:shd w:val="clear" w:color="auto" w:fill="auto"/>
            <w:tcMar>
              <w:top w:w="100" w:type="dxa"/>
              <w:left w:w="100" w:type="dxa"/>
              <w:bottom w:w="100" w:type="dxa"/>
              <w:right w:w="100" w:type="dxa"/>
            </w:tcMar>
          </w:tcPr>
          <w:p w14:paraId="6EAD732F" w14:textId="77777777" w:rsidR="002A4525" w:rsidRPr="00D35C7B" w:rsidRDefault="002A4525" w:rsidP="00D42EC9">
            <w:pPr>
              <w:pStyle w:val="Ttulo3"/>
              <w:widowControl w:val="0"/>
              <w:spacing w:before="0" w:line="240" w:lineRule="auto"/>
              <w:rPr>
                <w:rFonts w:ascii="Times New Roman" w:hAnsi="Times New Roman" w:cs="Times New Roman"/>
                <w:b/>
                <w:bCs/>
                <w:color w:val="000000" w:themeColor="text1"/>
              </w:rPr>
            </w:pPr>
            <w:r w:rsidRPr="00D35C7B">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0F28BB80" w14:textId="77777777" w:rsidR="002A4525" w:rsidRPr="00D35C7B" w:rsidRDefault="002A4525" w:rsidP="00D42EC9">
            <w:pPr>
              <w:pStyle w:val="Ttulo3"/>
              <w:widowControl w:val="0"/>
              <w:spacing w:before="0" w:line="240" w:lineRule="auto"/>
              <w:rPr>
                <w:rFonts w:ascii="Times New Roman" w:hAnsi="Times New Roman" w:cs="Times New Roman"/>
                <w:b/>
                <w:bCs/>
                <w:color w:val="000000" w:themeColor="text1"/>
              </w:rPr>
            </w:pPr>
            <w:bookmarkStart w:id="0" w:name="_btsjgdfgjwkr" w:colFirst="0" w:colLast="0"/>
            <w:bookmarkEnd w:id="0"/>
            <w:r w:rsidRPr="00D35C7B">
              <w:rPr>
                <w:rFonts w:ascii="Times New Roman" w:hAnsi="Times New Roman" w:cs="Times New Roman"/>
                <w:b/>
                <w:bCs/>
                <w:color w:val="000000" w:themeColor="text1"/>
              </w:rPr>
              <w:t>Definición. María Brenda González Herrera</w:t>
            </w:r>
          </w:p>
        </w:tc>
      </w:tr>
      <w:tr w:rsidR="00D35C7B" w:rsidRPr="00D35C7B" w14:paraId="25EF1BB1" w14:textId="77777777" w:rsidTr="00D42EC9">
        <w:tc>
          <w:tcPr>
            <w:tcW w:w="3045" w:type="dxa"/>
            <w:shd w:val="clear" w:color="auto" w:fill="auto"/>
            <w:tcMar>
              <w:top w:w="100" w:type="dxa"/>
              <w:left w:w="100" w:type="dxa"/>
              <w:bottom w:w="100" w:type="dxa"/>
              <w:right w:w="100" w:type="dxa"/>
            </w:tcMar>
          </w:tcPr>
          <w:p w14:paraId="327E32BB" w14:textId="77777777" w:rsidR="002A4525" w:rsidRPr="00D35C7B" w:rsidRDefault="002A4525" w:rsidP="00D42EC9">
            <w:pPr>
              <w:widowControl w:val="0"/>
              <w:spacing w:line="240" w:lineRule="auto"/>
              <w:rPr>
                <w:b/>
                <w:bCs/>
                <w:color w:val="000000" w:themeColor="text1"/>
              </w:rPr>
            </w:pPr>
            <w:bookmarkStart w:id="1" w:name="_GoBack" w:colFirst="1" w:colLast="1"/>
            <w:r w:rsidRPr="00D35C7B">
              <w:rPr>
                <w:b/>
                <w:bCs/>
                <w:color w:val="000000" w:themeColor="text1"/>
              </w:rPr>
              <w:t>Conceptualización</w:t>
            </w:r>
          </w:p>
        </w:tc>
        <w:tc>
          <w:tcPr>
            <w:tcW w:w="6315" w:type="dxa"/>
            <w:shd w:val="clear" w:color="auto" w:fill="auto"/>
            <w:tcMar>
              <w:top w:w="100" w:type="dxa"/>
              <w:left w:w="100" w:type="dxa"/>
              <w:bottom w:w="100" w:type="dxa"/>
              <w:right w:w="100" w:type="dxa"/>
            </w:tcMar>
          </w:tcPr>
          <w:p w14:paraId="2E6CFB3D" w14:textId="58A4E540" w:rsidR="002A4525" w:rsidRPr="00D35C7B" w:rsidRDefault="002A4525" w:rsidP="00D42EC9">
            <w:pPr>
              <w:widowControl w:val="0"/>
              <w:spacing w:line="240" w:lineRule="auto"/>
              <w:rPr>
                <w:color w:val="000000" w:themeColor="text1"/>
              </w:rPr>
            </w:pPr>
            <w:r w:rsidRPr="00D35C7B">
              <w:rPr>
                <w:color w:val="000000" w:themeColor="text1"/>
              </w:rPr>
              <w:t>(principal) María Brenda González Herrera, (apoyo) José Gerardo Ignacio Gómez Romero.</w:t>
            </w:r>
          </w:p>
        </w:tc>
      </w:tr>
      <w:tr w:rsidR="00D35C7B" w:rsidRPr="00D35C7B" w14:paraId="0C24BDC4" w14:textId="77777777" w:rsidTr="00D42EC9">
        <w:tc>
          <w:tcPr>
            <w:tcW w:w="3045" w:type="dxa"/>
            <w:shd w:val="clear" w:color="auto" w:fill="auto"/>
            <w:tcMar>
              <w:top w:w="100" w:type="dxa"/>
              <w:left w:w="100" w:type="dxa"/>
              <w:bottom w:w="100" w:type="dxa"/>
              <w:right w:w="100" w:type="dxa"/>
            </w:tcMar>
          </w:tcPr>
          <w:p w14:paraId="6106288B" w14:textId="77777777" w:rsidR="002A4525" w:rsidRPr="00D35C7B" w:rsidRDefault="002A4525" w:rsidP="00D42EC9">
            <w:pPr>
              <w:widowControl w:val="0"/>
              <w:spacing w:line="240" w:lineRule="auto"/>
              <w:rPr>
                <w:b/>
                <w:bCs/>
                <w:color w:val="000000" w:themeColor="text1"/>
              </w:rPr>
            </w:pPr>
            <w:r w:rsidRPr="00D35C7B">
              <w:rPr>
                <w:b/>
                <w:bCs/>
                <w:color w:val="000000" w:themeColor="text1"/>
              </w:rPr>
              <w:t>Metodología</w:t>
            </w:r>
          </w:p>
        </w:tc>
        <w:tc>
          <w:tcPr>
            <w:tcW w:w="6315" w:type="dxa"/>
            <w:shd w:val="clear" w:color="auto" w:fill="auto"/>
            <w:tcMar>
              <w:top w:w="100" w:type="dxa"/>
              <w:left w:w="100" w:type="dxa"/>
              <w:bottom w:w="100" w:type="dxa"/>
              <w:right w:w="100" w:type="dxa"/>
            </w:tcMar>
          </w:tcPr>
          <w:p w14:paraId="444E5521" w14:textId="4F64DC66" w:rsidR="002A4525" w:rsidRPr="00D35C7B" w:rsidRDefault="002A4525" w:rsidP="00D42EC9">
            <w:pPr>
              <w:widowControl w:val="0"/>
              <w:spacing w:line="240" w:lineRule="auto"/>
              <w:rPr>
                <w:color w:val="000000" w:themeColor="text1"/>
              </w:rPr>
            </w:pPr>
            <w:r w:rsidRPr="00D35C7B">
              <w:rPr>
                <w:color w:val="000000" w:themeColor="text1"/>
              </w:rPr>
              <w:t xml:space="preserve"> (principal)  María Brenda González Herrera, (apoyo) Ernesto Geovani Figueroa González.</w:t>
            </w:r>
          </w:p>
        </w:tc>
      </w:tr>
      <w:tr w:rsidR="00D35C7B" w:rsidRPr="00D35C7B" w14:paraId="060509A5" w14:textId="77777777" w:rsidTr="00D42EC9">
        <w:tc>
          <w:tcPr>
            <w:tcW w:w="3045" w:type="dxa"/>
            <w:shd w:val="clear" w:color="auto" w:fill="auto"/>
            <w:tcMar>
              <w:top w:w="100" w:type="dxa"/>
              <w:left w:w="100" w:type="dxa"/>
              <w:bottom w:w="100" w:type="dxa"/>
              <w:right w:w="100" w:type="dxa"/>
            </w:tcMar>
          </w:tcPr>
          <w:p w14:paraId="7890B575" w14:textId="77777777" w:rsidR="002A4525" w:rsidRPr="00D35C7B" w:rsidRDefault="002A4525" w:rsidP="00D42EC9">
            <w:pPr>
              <w:widowControl w:val="0"/>
              <w:spacing w:line="240" w:lineRule="auto"/>
              <w:rPr>
                <w:b/>
                <w:bCs/>
                <w:color w:val="000000" w:themeColor="text1"/>
              </w:rPr>
            </w:pPr>
            <w:r w:rsidRPr="00D35C7B">
              <w:rPr>
                <w:b/>
                <w:bCs/>
                <w:color w:val="000000" w:themeColor="text1"/>
              </w:rPr>
              <w:t>Software</w:t>
            </w:r>
          </w:p>
        </w:tc>
        <w:tc>
          <w:tcPr>
            <w:tcW w:w="6315" w:type="dxa"/>
            <w:shd w:val="clear" w:color="auto" w:fill="auto"/>
            <w:tcMar>
              <w:top w:w="100" w:type="dxa"/>
              <w:left w:w="100" w:type="dxa"/>
              <w:bottom w:w="100" w:type="dxa"/>
              <w:right w:w="100" w:type="dxa"/>
            </w:tcMar>
          </w:tcPr>
          <w:p w14:paraId="628E3E9D" w14:textId="3539ABF9" w:rsidR="002A4525" w:rsidRPr="00D35C7B" w:rsidRDefault="002A4525" w:rsidP="00D42EC9">
            <w:pPr>
              <w:widowControl w:val="0"/>
              <w:spacing w:line="240" w:lineRule="auto"/>
              <w:rPr>
                <w:color w:val="000000" w:themeColor="text1"/>
              </w:rPr>
            </w:pPr>
            <w:r w:rsidRPr="00D35C7B">
              <w:rPr>
                <w:color w:val="000000" w:themeColor="text1"/>
              </w:rPr>
              <w:t>María Brenda González Herrera.</w:t>
            </w:r>
          </w:p>
        </w:tc>
      </w:tr>
      <w:tr w:rsidR="00D35C7B" w:rsidRPr="00D35C7B" w14:paraId="0D961C10" w14:textId="77777777" w:rsidTr="00D42EC9">
        <w:tc>
          <w:tcPr>
            <w:tcW w:w="3045" w:type="dxa"/>
            <w:shd w:val="clear" w:color="auto" w:fill="auto"/>
            <w:tcMar>
              <w:top w:w="100" w:type="dxa"/>
              <w:left w:w="100" w:type="dxa"/>
              <w:bottom w:w="100" w:type="dxa"/>
              <w:right w:w="100" w:type="dxa"/>
            </w:tcMar>
          </w:tcPr>
          <w:p w14:paraId="0A4FB50B" w14:textId="77777777" w:rsidR="002A4525" w:rsidRPr="00D35C7B" w:rsidRDefault="002A4525" w:rsidP="00D42EC9">
            <w:pPr>
              <w:widowControl w:val="0"/>
              <w:spacing w:line="240" w:lineRule="auto"/>
              <w:rPr>
                <w:b/>
                <w:bCs/>
                <w:color w:val="000000" w:themeColor="text1"/>
              </w:rPr>
            </w:pPr>
            <w:r w:rsidRPr="00D35C7B">
              <w:rPr>
                <w:b/>
                <w:bCs/>
                <w:color w:val="000000" w:themeColor="text1"/>
              </w:rPr>
              <w:t>Validación</w:t>
            </w:r>
          </w:p>
        </w:tc>
        <w:tc>
          <w:tcPr>
            <w:tcW w:w="6315" w:type="dxa"/>
            <w:shd w:val="clear" w:color="auto" w:fill="auto"/>
            <w:tcMar>
              <w:top w:w="100" w:type="dxa"/>
              <w:left w:w="100" w:type="dxa"/>
              <w:bottom w:w="100" w:type="dxa"/>
              <w:right w:w="100" w:type="dxa"/>
            </w:tcMar>
          </w:tcPr>
          <w:p w14:paraId="2EE12005" w14:textId="156E9212" w:rsidR="002A4525" w:rsidRPr="00D35C7B" w:rsidRDefault="002A4525" w:rsidP="00D42EC9">
            <w:pPr>
              <w:widowControl w:val="0"/>
              <w:spacing w:line="240" w:lineRule="auto"/>
              <w:rPr>
                <w:color w:val="000000" w:themeColor="text1"/>
              </w:rPr>
            </w:pPr>
            <w:r w:rsidRPr="00D35C7B">
              <w:rPr>
                <w:color w:val="000000" w:themeColor="text1"/>
              </w:rPr>
              <w:t xml:space="preserve"> (principal) María Brenda González Herrera, (apoyo)Ernesto Geovani Figueroa González.</w:t>
            </w:r>
          </w:p>
        </w:tc>
      </w:tr>
      <w:tr w:rsidR="00D35C7B" w:rsidRPr="00D35C7B" w14:paraId="45DFDBCA" w14:textId="77777777" w:rsidTr="00D42EC9">
        <w:tc>
          <w:tcPr>
            <w:tcW w:w="3045" w:type="dxa"/>
            <w:shd w:val="clear" w:color="auto" w:fill="auto"/>
            <w:tcMar>
              <w:top w:w="100" w:type="dxa"/>
              <w:left w:w="100" w:type="dxa"/>
              <w:bottom w:w="100" w:type="dxa"/>
              <w:right w:w="100" w:type="dxa"/>
            </w:tcMar>
          </w:tcPr>
          <w:p w14:paraId="52BF46C9" w14:textId="77777777" w:rsidR="002A4525" w:rsidRPr="00D35C7B" w:rsidRDefault="002A4525" w:rsidP="00D42EC9">
            <w:pPr>
              <w:widowControl w:val="0"/>
              <w:spacing w:line="240" w:lineRule="auto"/>
              <w:rPr>
                <w:b/>
                <w:bCs/>
                <w:color w:val="000000" w:themeColor="text1"/>
              </w:rPr>
            </w:pPr>
            <w:r w:rsidRPr="00D35C7B">
              <w:rPr>
                <w:b/>
                <w:bCs/>
                <w:color w:val="000000" w:themeColor="text1"/>
              </w:rPr>
              <w:t>Análisis Formal</w:t>
            </w:r>
          </w:p>
        </w:tc>
        <w:tc>
          <w:tcPr>
            <w:tcW w:w="6315" w:type="dxa"/>
            <w:shd w:val="clear" w:color="auto" w:fill="auto"/>
            <w:tcMar>
              <w:top w:w="100" w:type="dxa"/>
              <w:left w:w="100" w:type="dxa"/>
              <w:bottom w:w="100" w:type="dxa"/>
              <w:right w:w="100" w:type="dxa"/>
            </w:tcMar>
          </w:tcPr>
          <w:p w14:paraId="0F0B76F9" w14:textId="1B0B2AA6" w:rsidR="002A4525" w:rsidRPr="00D35C7B" w:rsidRDefault="002A4525" w:rsidP="00D42EC9">
            <w:pPr>
              <w:widowControl w:val="0"/>
              <w:spacing w:line="240" w:lineRule="auto"/>
              <w:rPr>
                <w:color w:val="000000" w:themeColor="text1"/>
              </w:rPr>
            </w:pPr>
            <w:r w:rsidRPr="00D35C7B">
              <w:rPr>
                <w:color w:val="000000" w:themeColor="text1"/>
              </w:rPr>
              <w:t>(principal) María Brenda González Herrera, (apoyo)José Gerardo Ignacio Gómez Romero, (apoyo)Ernesto Geovani Figueroa González.</w:t>
            </w:r>
          </w:p>
        </w:tc>
      </w:tr>
      <w:tr w:rsidR="00D35C7B" w:rsidRPr="00D35C7B" w14:paraId="799AACA3" w14:textId="77777777" w:rsidTr="00D42EC9">
        <w:tc>
          <w:tcPr>
            <w:tcW w:w="3045" w:type="dxa"/>
            <w:shd w:val="clear" w:color="auto" w:fill="auto"/>
            <w:tcMar>
              <w:top w:w="100" w:type="dxa"/>
              <w:left w:w="100" w:type="dxa"/>
              <w:bottom w:w="100" w:type="dxa"/>
              <w:right w:w="100" w:type="dxa"/>
            </w:tcMar>
          </w:tcPr>
          <w:p w14:paraId="37FFAA1A" w14:textId="77777777" w:rsidR="002A4525" w:rsidRPr="00D35C7B" w:rsidRDefault="002A4525" w:rsidP="00D42EC9">
            <w:pPr>
              <w:widowControl w:val="0"/>
              <w:spacing w:line="240" w:lineRule="auto"/>
              <w:rPr>
                <w:b/>
                <w:bCs/>
                <w:color w:val="000000" w:themeColor="text1"/>
              </w:rPr>
            </w:pPr>
            <w:r w:rsidRPr="00D35C7B">
              <w:rPr>
                <w:b/>
                <w:bCs/>
                <w:color w:val="000000" w:themeColor="text1"/>
              </w:rPr>
              <w:t>Investigación</w:t>
            </w:r>
          </w:p>
        </w:tc>
        <w:tc>
          <w:tcPr>
            <w:tcW w:w="6315" w:type="dxa"/>
            <w:shd w:val="clear" w:color="auto" w:fill="auto"/>
            <w:tcMar>
              <w:top w:w="100" w:type="dxa"/>
              <w:left w:w="100" w:type="dxa"/>
              <w:bottom w:w="100" w:type="dxa"/>
              <w:right w:w="100" w:type="dxa"/>
            </w:tcMar>
          </w:tcPr>
          <w:p w14:paraId="662D797D" w14:textId="79507432" w:rsidR="002A4525" w:rsidRPr="00D35C7B" w:rsidRDefault="002A4525" w:rsidP="00D42EC9">
            <w:pPr>
              <w:widowControl w:val="0"/>
              <w:spacing w:line="240" w:lineRule="auto"/>
              <w:rPr>
                <w:color w:val="000000" w:themeColor="text1"/>
              </w:rPr>
            </w:pPr>
            <w:r w:rsidRPr="00D35C7B">
              <w:rPr>
                <w:color w:val="000000" w:themeColor="text1"/>
              </w:rPr>
              <w:t>María Brenda González Herrera</w:t>
            </w:r>
          </w:p>
        </w:tc>
      </w:tr>
      <w:tr w:rsidR="00D35C7B" w:rsidRPr="00D35C7B" w14:paraId="4ECA9BCA" w14:textId="77777777" w:rsidTr="00D42EC9">
        <w:tc>
          <w:tcPr>
            <w:tcW w:w="3045" w:type="dxa"/>
            <w:shd w:val="clear" w:color="auto" w:fill="auto"/>
            <w:tcMar>
              <w:top w:w="100" w:type="dxa"/>
              <w:left w:w="100" w:type="dxa"/>
              <w:bottom w:w="100" w:type="dxa"/>
              <w:right w:w="100" w:type="dxa"/>
            </w:tcMar>
          </w:tcPr>
          <w:p w14:paraId="3DDDEF90" w14:textId="77777777" w:rsidR="002A4525" w:rsidRPr="00D35C7B" w:rsidRDefault="002A4525" w:rsidP="00D42EC9">
            <w:pPr>
              <w:widowControl w:val="0"/>
              <w:spacing w:line="240" w:lineRule="auto"/>
              <w:rPr>
                <w:b/>
                <w:bCs/>
                <w:color w:val="000000" w:themeColor="text1"/>
              </w:rPr>
            </w:pPr>
            <w:r w:rsidRPr="00D35C7B">
              <w:rPr>
                <w:b/>
                <w:bCs/>
                <w:color w:val="000000" w:themeColor="text1"/>
              </w:rPr>
              <w:t>Recursos</w:t>
            </w:r>
          </w:p>
        </w:tc>
        <w:tc>
          <w:tcPr>
            <w:tcW w:w="6315" w:type="dxa"/>
            <w:shd w:val="clear" w:color="auto" w:fill="auto"/>
            <w:tcMar>
              <w:top w:w="100" w:type="dxa"/>
              <w:left w:w="100" w:type="dxa"/>
              <w:bottom w:w="100" w:type="dxa"/>
              <w:right w:w="100" w:type="dxa"/>
            </w:tcMar>
          </w:tcPr>
          <w:p w14:paraId="063C3504" w14:textId="097F724C" w:rsidR="002A4525" w:rsidRPr="00D35C7B" w:rsidRDefault="002A4525" w:rsidP="00D42EC9">
            <w:pPr>
              <w:widowControl w:val="0"/>
              <w:spacing w:line="240" w:lineRule="auto"/>
              <w:rPr>
                <w:color w:val="000000" w:themeColor="text1"/>
              </w:rPr>
            </w:pPr>
            <w:r w:rsidRPr="00D35C7B">
              <w:rPr>
                <w:color w:val="000000" w:themeColor="text1"/>
              </w:rPr>
              <w:t>María Brenda González Herrera.</w:t>
            </w:r>
          </w:p>
        </w:tc>
      </w:tr>
      <w:tr w:rsidR="00D35C7B" w:rsidRPr="00D35C7B" w14:paraId="2453E6C3" w14:textId="77777777" w:rsidTr="00D42EC9">
        <w:tc>
          <w:tcPr>
            <w:tcW w:w="3045" w:type="dxa"/>
            <w:shd w:val="clear" w:color="auto" w:fill="auto"/>
            <w:tcMar>
              <w:top w:w="100" w:type="dxa"/>
              <w:left w:w="100" w:type="dxa"/>
              <w:bottom w:w="100" w:type="dxa"/>
              <w:right w:w="100" w:type="dxa"/>
            </w:tcMar>
          </w:tcPr>
          <w:p w14:paraId="4DC77D35" w14:textId="77777777" w:rsidR="002A4525" w:rsidRPr="00D35C7B" w:rsidRDefault="002A4525" w:rsidP="00D42EC9">
            <w:pPr>
              <w:widowControl w:val="0"/>
              <w:spacing w:line="240" w:lineRule="auto"/>
              <w:rPr>
                <w:b/>
                <w:bCs/>
                <w:color w:val="000000" w:themeColor="text1"/>
              </w:rPr>
            </w:pPr>
            <w:r w:rsidRPr="00D35C7B">
              <w:rPr>
                <w:b/>
                <w:bCs/>
                <w:color w:val="000000" w:themeColor="text1"/>
              </w:rPr>
              <w:t>Curación de datos</w:t>
            </w:r>
          </w:p>
        </w:tc>
        <w:tc>
          <w:tcPr>
            <w:tcW w:w="6315" w:type="dxa"/>
            <w:shd w:val="clear" w:color="auto" w:fill="auto"/>
            <w:tcMar>
              <w:top w:w="100" w:type="dxa"/>
              <w:left w:w="100" w:type="dxa"/>
              <w:bottom w:w="100" w:type="dxa"/>
              <w:right w:w="100" w:type="dxa"/>
            </w:tcMar>
          </w:tcPr>
          <w:p w14:paraId="791B3883" w14:textId="70BFCF45" w:rsidR="002A4525" w:rsidRPr="00D35C7B" w:rsidRDefault="002A4525" w:rsidP="00D42EC9">
            <w:pPr>
              <w:widowControl w:val="0"/>
              <w:spacing w:line="240" w:lineRule="auto"/>
              <w:rPr>
                <w:color w:val="000000" w:themeColor="text1"/>
              </w:rPr>
            </w:pPr>
            <w:r w:rsidRPr="00D35C7B">
              <w:rPr>
                <w:color w:val="000000" w:themeColor="text1"/>
              </w:rPr>
              <w:t>María Brenda González Herrera.</w:t>
            </w:r>
          </w:p>
        </w:tc>
      </w:tr>
      <w:tr w:rsidR="00D35C7B" w:rsidRPr="00D35C7B" w14:paraId="35D78AF4" w14:textId="77777777" w:rsidTr="00D42EC9">
        <w:tc>
          <w:tcPr>
            <w:tcW w:w="3045" w:type="dxa"/>
            <w:shd w:val="clear" w:color="auto" w:fill="auto"/>
            <w:tcMar>
              <w:top w:w="100" w:type="dxa"/>
              <w:left w:w="100" w:type="dxa"/>
              <w:bottom w:w="100" w:type="dxa"/>
              <w:right w:w="100" w:type="dxa"/>
            </w:tcMar>
          </w:tcPr>
          <w:p w14:paraId="41C89358" w14:textId="77777777" w:rsidR="002A4525" w:rsidRPr="00D35C7B" w:rsidRDefault="002A4525" w:rsidP="00D42EC9">
            <w:pPr>
              <w:widowControl w:val="0"/>
              <w:spacing w:line="240" w:lineRule="auto"/>
              <w:rPr>
                <w:b/>
                <w:bCs/>
                <w:color w:val="000000" w:themeColor="text1"/>
              </w:rPr>
            </w:pPr>
            <w:r w:rsidRPr="00D35C7B">
              <w:rPr>
                <w:b/>
                <w:bCs/>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46C95BE7" w14:textId="3A232143" w:rsidR="002A4525" w:rsidRPr="00D35C7B" w:rsidRDefault="002A4525" w:rsidP="00D42EC9">
            <w:pPr>
              <w:widowControl w:val="0"/>
              <w:spacing w:line="240" w:lineRule="auto"/>
              <w:rPr>
                <w:color w:val="000000" w:themeColor="text1"/>
              </w:rPr>
            </w:pPr>
            <w:r w:rsidRPr="00D35C7B">
              <w:rPr>
                <w:color w:val="000000" w:themeColor="text1"/>
              </w:rPr>
              <w:t>María Brenda González Herrera.</w:t>
            </w:r>
          </w:p>
        </w:tc>
      </w:tr>
      <w:tr w:rsidR="00D35C7B" w:rsidRPr="00D35C7B" w14:paraId="2741F8BF" w14:textId="77777777" w:rsidTr="00D42EC9">
        <w:tc>
          <w:tcPr>
            <w:tcW w:w="3045" w:type="dxa"/>
            <w:shd w:val="clear" w:color="auto" w:fill="auto"/>
            <w:tcMar>
              <w:top w:w="100" w:type="dxa"/>
              <w:left w:w="100" w:type="dxa"/>
              <w:bottom w:w="100" w:type="dxa"/>
              <w:right w:w="100" w:type="dxa"/>
            </w:tcMar>
          </w:tcPr>
          <w:p w14:paraId="28FA8AE8" w14:textId="77777777" w:rsidR="002A4525" w:rsidRPr="00D35C7B" w:rsidRDefault="002A4525" w:rsidP="00D42EC9">
            <w:pPr>
              <w:widowControl w:val="0"/>
              <w:spacing w:line="240" w:lineRule="auto"/>
              <w:rPr>
                <w:b/>
                <w:bCs/>
                <w:color w:val="000000" w:themeColor="text1"/>
              </w:rPr>
            </w:pPr>
            <w:r w:rsidRPr="00D35C7B">
              <w:rPr>
                <w:b/>
                <w:bCs/>
                <w:color w:val="000000" w:themeColor="text1"/>
              </w:rPr>
              <w:t>Escritura - Revisión y edición</w:t>
            </w:r>
          </w:p>
        </w:tc>
        <w:tc>
          <w:tcPr>
            <w:tcW w:w="6315" w:type="dxa"/>
            <w:shd w:val="clear" w:color="auto" w:fill="auto"/>
            <w:tcMar>
              <w:top w:w="100" w:type="dxa"/>
              <w:left w:w="100" w:type="dxa"/>
              <w:bottom w:w="100" w:type="dxa"/>
              <w:right w:w="100" w:type="dxa"/>
            </w:tcMar>
          </w:tcPr>
          <w:p w14:paraId="2EAFBF13" w14:textId="5AB6F358" w:rsidR="002A4525" w:rsidRPr="00D35C7B" w:rsidRDefault="002A4525" w:rsidP="00D42EC9">
            <w:pPr>
              <w:widowControl w:val="0"/>
              <w:spacing w:line="240" w:lineRule="auto"/>
              <w:rPr>
                <w:color w:val="000000" w:themeColor="text1"/>
              </w:rPr>
            </w:pPr>
            <w:r w:rsidRPr="00D35C7B">
              <w:rPr>
                <w:color w:val="000000" w:themeColor="text1"/>
              </w:rPr>
              <w:t>(principal)  María Brenda González Herrera, (igual)José Gerardo Ignacio Gómez Romero, (apoyo) Ernesto Geovani Figueroa González.</w:t>
            </w:r>
          </w:p>
        </w:tc>
      </w:tr>
      <w:tr w:rsidR="00D35C7B" w:rsidRPr="00D35C7B" w14:paraId="12B0D9D8" w14:textId="77777777" w:rsidTr="00D42EC9">
        <w:tc>
          <w:tcPr>
            <w:tcW w:w="3045" w:type="dxa"/>
            <w:shd w:val="clear" w:color="auto" w:fill="auto"/>
            <w:tcMar>
              <w:top w:w="100" w:type="dxa"/>
              <w:left w:w="100" w:type="dxa"/>
              <w:bottom w:w="100" w:type="dxa"/>
              <w:right w:w="100" w:type="dxa"/>
            </w:tcMar>
          </w:tcPr>
          <w:p w14:paraId="28F07DBF" w14:textId="77777777" w:rsidR="002A4525" w:rsidRPr="00D35C7B" w:rsidRDefault="002A4525" w:rsidP="00D42EC9">
            <w:pPr>
              <w:widowControl w:val="0"/>
              <w:spacing w:line="240" w:lineRule="auto"/>
              <w:rPr>
                <w:b/>
                <w:bCs/>
                <w:color w:val="000000" w:themeColor="text1"/>
              </w:rPr>
            </w:pPr>
            <w:r w:rsidRPr="00D35C7B">
              <w:rPr>
                <w:b/>
                <w:bCs/>
                <w:color w:val="000000" w:themeColor="text1"/>
              </w:rPr>
              <w:t>Visualización</w:t>
            </w:r>
          </w:p>
        </w:tc>
        <w:tc>
          <w:tcPr>
            <w:tcW w:w="6315" w:type="dxa"/>
            <w:shd w:val="clear" w:color="auto" w:fill="auto"/>
            <w:tcMar>
              <w:top w:w="100" w:type="dxa"/>
              <w:left w:w="100" w:type="dxa"/>
              <w:bottom w:w="100" w:type="dxa"/>
              <w:right w:w="100" w:type="dxa"/>
            </w:tcMar>
          </w:tcPr>
          <w:p w14:paraId="2D14D15E" w14:textId="6052FBFF" w:rsidR="002A4525" w:rsidRPr="00D35C7B" w:rsidRDefault="002A4525" w:rsidP="00D42EC9">
            <w:pPr>
              <w:widowControl w:val="0"/>
              <w:spacing w:line="240" w:lineRule="auto"/>
              <w:rPr>
                <w:color w:val="000000" w:themeColor="text1"/>
              </w:rPr>
            </w:pPr>
            <w:r w:rsidRPr="00D35C7B">
              <w:rPr>
                <w:color w:val="000000" w:themeColor="text1"/>
              </w:rPr>
              <w:t>María Brenda González Herrera.</w:t>
            </w:r>
          </w:p>
        </w:tc>
      </w:tr>
      <w:tr w:rsidR="00D35C7B" w:rsidRPr="00D35C7B" w14:paraId="56490C06" w14:textId="77777777" w:rsidTr="00D42EC9">
        <w:tc>
          <w:tcPr>
            <w:tcW w:w="3045" w:type="dxa"/>
            <w:shd w:val="clear" w:color="auto" w:fill="auto"/>
            <w:tcMar>
              <w:top w:w="100" w:type="dxa"/>
              <w:left w:w="100" w:type="dxa"/>
              <w:bottom w:w="100" w:type="dxa"/>
              <w:right w:w="100" w:type="dxa"/>
            </w:tcMar>
          </w:tcPr>
          <w:p w14:paraId="25A1ED04" w14:textId="77777777" w:rsidR="002A4525" w:rsidRPr="00D35C7B" w:rsidRDefault="002A4525" w:rsidP="00D42EC9">
            <w:pPr>
              <w:widowControl w:val="0"/>
              <w:spacing w:line="240" w:lineRule="auto"/>
              <w:rPr>
                <w:b/>
                <w:bCs/>
                <w:color w:val="000000" w:themeColor="text1"/>
              </w:rPr>
            </w:pPr>
            <w:r w:rsidRPr="00D35C7B">
              <w:rPr>
                <w:b/>
                <w:bCs/>
                <w:color w:val="000000" w:themeColor="text1"/>
              </w:rPr>
              <w:t>Supervisión</w:t>
            </w:r>
          </w:p>
        </w:tc>
        <w:tc>
          <w:tcPr>
            <w:tcW w:w="6315" w:type="dxa"/>
            <w:shd w:val="clear" w:color="auto" w:fill="auto"/>
            <w:tcMar>
              <w:top w:w="100" w:type="dxa"/>
              <w:left w:w="100" w:type="dxa"/>
              <w:bottom w:w="100" w:type="dxa"/>
              <w:right w:w="100" w:type="dxa"/>
            </w:tcMar>
          </w:tcPr>
          <w:p w14:paraId="500E791C" w14:textId="684A4F21" w:rsidR="002A4525" w:rsidRPr="00D35C7B" w:rsidRDefault="002A4525" w:rsidP="00D42EC9">
            <w:pPr>
              <w:widowControl w:val="0"/>
              <w:spacing w:line="240" w:lineRule="auto"/>
              <w:rPr>
                <w:color w:val="000000" w:themeColor="text1"/>
              </w:rPr>
            </w:pPr>
            <w:r w:rsidRPr="00D35C7B">
              <w:rPr>
                <w:color w:val="000000" w:themeColor="text1"/>
              </w:rPr>
              <w:t>María Brenda González Herrera.</w:t>
            </w:r>
          </w:p>
        </w:tc>
      </w:tr>
      <w:tr w:rsidR="00D35C7B" w:rsidRPr="00D35C7B" w14:paraId="6CAFA677" w14:textId="77777777" w:rsidTr="00D42EC9">
        <w:tc>
          <w:tcPr>
            <w:tcW w:w="3045" w:type="dxa"/>
            <w:shd w:val="clear" w:color="auto" w:fill="auto"/>
            <w:tcMar>
              <w:top w:w="100" w:type="dxa"/>
              <w:left w:w="100" w:type="dxa"/>
              <w:bottom w:w="100" w:type="dxa"/>
              <w:right w:w="100" w:type="dxa"/>
            </w:tcMar>
          </w:tcPr>
          <w:p w14:paraId="4B5F2EC0" w14:textId="77777777" w:rsidR="002A4525" w:rsidRPr="00D35C7B" w:rsidRDefault="002A4525" w:rsidP="00D42EC9">
            <w:pPr>
              <w:widowControl w:val="0"/>
              <w:spacing w:line="240" w:lineRule="auto"/>
              <w:rPr>
                <w:b/>
                <w:bCs/>
                <w:color w:val="000000" w:themeColor="text1"/>
              </w:rPr>
            </w:pPr>
            <w:r w:rsidRPr="00D35C7B">
              <w:rPr>
                <w:b/>
                <w:bCs/>
                <w:color w:val="000000" w:themeColor="text1"/>
              </w:rPr>
              <w:t>Administración de Proyectos</w:t>
            </w:r>
          </w:p>
        </w:tc>
        <w:tc>
          <w:tcPr>
            <w:tcW w:w="6315" w:type="dxa"/>
            <w:shd w:val="clear" w:color="auto" w:fill="auto"/>
            <w:tcMar>
              <w:top w:w="100" w:type="dxa"/>
              <w:left w:w="100" w:type="dxa"/>
              <w:bottom w:w="100" w:type="dxa"/>
              <w:right w:w="100" w:type="dxa"/>
            </w:tcMar>
          </w:tcPr>
          <w:p w14:paraId="1D915D29" w14:textId="05CA8401" w:rsidR="002A4525" w:rsidRPr="00D35C7B" w:rsidRDefault="002A4525" w:rsidP="00D42EC9">
            <w:pPr>
              <w:widowControl w:val="0"/>
              <w:spacing w:line="240" w:lineRule="auto"/>
              <w:rPr>
                <w:color w:val="000000" w:themeColor="text1"/>
              </w:rPr>
            </w:pPr>
            <w:r w:rsidRPr="00D35C7B">
              <w:rPr>
                <w:color w:val="000000" w:themeColor="text1"/>
              </w:rPr>
              <w:t>María Brenda González Herrera.</w:t>
            </w:r>
          </w:p>
        </w:tc>
      </w:tr>
      <w:tr w:rsidR="00D35C7B" w:rsidRPr="00D35C7B" w14:paraId="0145A7FD" w14:textId="77777777" w:rsidTr="00D42EC9">
        <w:tc>
          <w:tcPr>
            <w:tcW w:w="3045" w:type="dxa"/>
            <w:shd w:val="clear" w:color="auto" w:fill="auto"/>
            <w:tcMar>
              <w:top w:w="100" w:type="dxa"/>
              <w:left w:w="100" w:type="dxa"/>
              <w:bottom w:w="100" w:type="dxa"/>
              <w:right w:w="100" w:type="dxa"/>
            </w:tcMar>
          </w:tcPr>
          <w:p w14:paraId="29920264" w14:textId="77777777" w:rsidR="002A4525" w:rsidRPr="00D35C7B" w:rsidRDefault="002A4525" w:rsidP="00D42EC9">
            <w:pPr>
              <w:widowControl w:val="0"/>
              <w:spacing w:line="240" w:lineRule="auto"/>
              <w:rPr>
                <w:b/>
                <w:bCs/>
                <w:color w:val="000000" w:themeColor="text1"/>
              </w:rPr>
            </w:pPr>
            <w:r w:rsidRPr="00D35C7B">
              <w:rPr>
                <w:b/>
                <w:bCs/>
                <w:color w:val="000000" w:themeColor="text1"/>
              </w:rPr>
              <w:t>Adquisición de fondos</w:t>
            </w:r>
          </w:p>
        </w:tc>
        <w:tc>
          <w:tcPr>
            <w:tcW w:w="6315" w:type="dxa"/>
            <w:shd w:val="clear" w:color="auto" w:fill="auto"/>
            <w:tcMar>
              <w:top w:w="100" w:type="dxa"/>
              <w:left w:w="100" w:type="dxa"/>
              <w:bottom w:w="100" w:type="dxa"/>
              <w:right w:w="100" w:type="dxa"/>
            </w:tcMar>
          </w:tcPr>
          <w:p w14:paraId="6172842D" w14:textId="37A269AF" w:rsidR="002A4525" w:rsidRPr="00D35C7B" w:rsidRDefault="002A4525" w:rsidP="00D42EC9">
            <w:pPr>
              <w:widowControl w:val="0"/>
              <w:spacing w:line="240" w:lineRule="auto"/>
              <w:rPr>
                <w:color w:val="000000" w:themeColor="text1"/>
              </w:rPr>
            </w:pPr>
            <w:r w:rsidRPr="00D35C7B">
              <w:rPr>
                <w:color w:val="000000" w:themeColor="text1"/>
              </w:rPr>
              <w:t>(principal) María Brenda González Herrera, (apoyo) Ernesto Geovani Figueroa González.</w:t>
            </w:r>
          </w:p>
        </w:tc>
      </w:tr>
      <w:bookmarkEnd w:id="1"/>
    </w:tbl>
    <w:p w14:paraId="2901C2DB" w14:textId="77777777" w:rsidR="000679BA" w:rsidRPr="00DF7C5F" w:rsidRDefault="000679BA" w:rsidP="000679BA">
      <w:pPr>
        <w:spacing w:line="360" w:lineRule="auto"/>
        <w:jc w:val="both"/>
        <w:rPr>
          <w:b/>
          <w:shd w:val="clear" w:color="auto" w:fill="FFFFFF"/>
          <w:lang w:val="en-US"/>
        </w:rPr>
      </w:pPr>
    </w:p>
    <w:p w14:paraId="439D015B" w14:textId="77777777" w:rsidR="000679BA" w:rsidRPr="000679BA" w:rsidRDefault="000679BA" w:rsidP="00730456">
      <w:pPr>
        <w:spacing w:after="0" w:line="360" w:lineRule="auto"/>
        <w:jc w:val="both"/>
        <w:rPr>
          <w:b/>
          <w:sz w:val="32"/>
          <w:szCs w:val="32"/>
          <w:shd w:val="clear" w:color="auto" w:fill="FFFFFF"/>
          <w:lang w:val="en-US"/>
        </w:rPr>
      </w:pPr>
    </w:p>
    <w:sectPr w:rsidR="000679BA" w:rsidRPr="000679BA" w:rsidSect="00D35C7B">
      <w:headerReference w:type="default" r:id="rId13"/>
      <w:footerReference w:type="default" r:id="rId14"/>
      <w:headerReference w:type="first" r:id="rId15"/>
      <w:footerReference w:type="first" r:id="rId16"/>
      <w:pgSz w:w="12240" w:h="15840"/>
      <w:pgMar w:top="1276" w:right="1701" w:bottom="993" w:left="1701" w:header="142" w:footer="9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F465A" w14:textId="77777777" w:rsidR="00717907" w:rsidRDefault="00717907" w:rsidP="003179BC">
      <w:pPr>
        <w:spacing w:after="0" w:line="240" w:lineRule="auto"/>
      </w:pPr>
      <w:r>
        <w:separator/>
      </w:r>
    </w:p>
  </w:endnote>
  <w:endnote w:type="continuationSeparator" w:id="0">
    <w:p w14:paraId="1E00D62B" w14:textId="77777777" w:rsidR="00717907" w:rsidRDefault="00717907" w:rsidP="0031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ime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573832"/>
      <w:docPartObj>
        <w:docPartGallery w:val="Page Numbers (Bottom of Page)"/>
        <w:docPartUnique/>
      </w:docPartObj>
    </w:sdtPr>
    <w:sdtEndPr/>
    <w:sdtContent>
      <w:p w14:paraId="0F90CA3B" w14:textId="043423D5" w:rsidR="00D44332" w:rsidRDefault="0034294E">
        <w:pPr>
          <w:pStyle w:val="Piedepgina"/>
        </w:pPr>
        <w:r>
          <w:rPr>
            <w:rFonts w:cstheme="minorHAnsi"/>
            <w:b/>
            <w:noProof/>
            <w:lang w:eastAsia="es-MX"/>
          </w:rPr>
          <w:drawing>
            <wp:inline distT="0" distB="0" distL="0" distR="0" wp14:anchorId="044A3421" wp14:editId="2DBE86D8">
              <wp:extent cx="1981200" cy="590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jpg"/>
                      <pic:cNvPicPr/>
                    </pic:nvPicPr>
                    <pic:blipFill>
                      <a:blip r:embed="rId1">
                        <a:extLst>
                          <a:ext uri="{28A0092B-C50C-407E-A947-70E740481C1C}">
                            <a14:useLocalDpi xmlns:a14="http://schemas.microsoft.com/office/drawing/2010/main" val="0"/>
                          </a:ext>
                        </a:extLst>
                      </a:blip>
                      <a:stretch>
                        <a:fillRect/>
                      </a:stretch>
                    </pic:blipFill>
                    <pic:spPr>
                      <a:xfrm>
                        <a:off x="0" y="0"/>
                        <a:ext cx="1981200" cy="590550"/>
                      </a:xfrm>
                      <a:prstGeom prst="rect">
                        <a:avLst/>
                      </a:prstGeom>
                    </pic:spPr>
                  </pic:pic>
                </a:graphicData>
              </a:graphic>
            </wp:inline>
          </w:drawing>
        </w:r>
        <w:r>
          <w:t xml:space="preserve">              </w:t>
        </w:r>
        <w:r w:rsidRPr="002F7B6C">
          <w:rPr>
            <w:rFonts w:ascii="Calibri" w:hAnsi="Calibri" w:cs="Calibri"/>
            <w:b/>
            <w:sz w:val="22"/>
          </w:rPr>
          <w:t>Vol. 8, Núm. 16                   Julio - Diciembre 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43881" w14:textId="6A82C00B" w:rsidR="002F7B6C" w:rsidRDefault="00D35C7B">
    <w:pPr>
      <w:pStyle w:val="Piedepgina"/>
    </w:pPr>
    <w:r>
      <w:t xml:space="preserve">    </w:t>
    </w:r>
    <w:r>
      <w:rPr>
        <w:noProof/>
      </w:rPr>
      <w:drawing>
        <wp:inline distT="0" distB="0" distL="0" distR="0" wp14:anchorId="4399BABE" wp14:editId="7B9DE349">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2F7B6C">
      <w:t xml:space="preserve">              </w:t>
    </w:r>
    <w:r w:rsidR="002F7B6C" w:rsidRPr="002F7B6C">
      <w:rPr>
        <w:rFonts w:ascii="Calibri" w:hAnsi="Calibri" w:cs="Calibri"/>
        <w:b/>
        <w:sz w:val="22"/>
      </w:rPr>
      <w:t>Vol. 8, Núm. 16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0B6AC" w14:textId="77777777" w:rsidR="00717907" w:rsidRDefault="00717907" w:rsidP="003179BC">
      <w:pPr>
        <w:spacing w:after="0" w:line="240" w:lineRule="auto"/>
      </w:pPr>
      <w:r>
        <w:separator/>
      </w:r>
    </w:p>
  </w:footnote>
  <w:footnote w:type="continuationSeparator" w:id="0">
    <w:p w14:paraId="12E94AEE" w14:textId="77777777" w:rsidR="00717907" w:rsidRDefault="00717907" w:rsidP="0031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0B4D4" w14:textId="77777777" w:rsidR="00D44332" w:rsidRPr="003179BC" w:rsidRDefault="002F7B6C" w:rsidP="002F7B6C">
    <w:pPr>
      <w:pStyle w:val="Encabezado"/>
      <w:jc w:val="center"/>
    </w:pPr>
    <w:r w:rsidRPr="00201BB5">
      <w:rPr>
        <w:noProof/>
        <w:lang w:eastAsia="es-MX"/>
      </w:rPr>
      <w:drawing>
        <wp:inline distT="0" distB="0" distL="0" distR="0" wp14:anchorId="5C035CC8" wp14:editId="080B5F2B">
          <wp:extent cx="5400040" cy="631777"/>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EB61" w14:textId="77777777" w:rsidR="002F7B6C" w:rsidRDefault="002F7B6C">
    <w:pPr>
      <w:pStyle w:val="Encabezado"/>
    </w:pPr>
    <w:r w:rsidRPr="00201BB5">
      <w:rPr>
        <w:noProof/>
        <w:lang w:eastAsia="es-MX"/>
      </w:rPr>
      <w:drawing>
        <wp:inline distT="0" distB="0" distL="0" distR="0" wp14:anchorId="374EA76C" wp14:editId="5F79B9EB">
          <wp:extent cx="5400040" cy="631777"/>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902AF"/>
    <w:multiLevelType w:val="hybridMultilevel"/>
    <w:tmpl w:val="6A92DD8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3F"/>
    <w:rsid w:val="000167B2"/>
    <w:rsid w:val="00017784"/>
    <w:rsid w:val="00027730"/>
    <w:rsid w:val="000360C2"/>
    <w:rsid w:val="000679BA"/>
    <w:rsid w:val="0007435A"/>
    <w:rsid w:val="00074B1A"/>
    <w:rsid w:val="000B5643"/>
    <w:rsid w:val="000C6EA4"/>
    <w:rsid w:val="000D413E"/>
    <w:rsid w:val="00111C76"/>
    <w:rsid w:val="0011538E"/>
    <w:rsid w:val="00127606"/>
    <w:rsid w:val="00134F9F"/>
    <w:rsid w:val="00140A0E"/>
    <w:rsid w:val="00156A9F"/>
    <w:rsid w:val="00173B57"/>
    <w:rsid w:val="00194A2D"/>
    <w:rsid w:val="001A105C"/>
    <w:rsid w:val="001A3FA7"/>
    <w:rsid w:val="001D3352"/>
    <w:rsid w:val="001D4AE9"/>
    <w:rsid w:val="001F21C0"/>
    <w:rsid w:val="0023030B"/>
    <w:rsid w:val="00230E22"/>
    <w:rsid w:val="00231912"/>
    <w:rsid w:val="002337F1"/>
    <w:rsid w:val="0024296B"/>
    <w:rsid w:val="00253D97"/>
    <w:rsid w:val="002563D9"/>
    <w:rsid w:val="00256FC3"/>
    <w:rsid w:val="0028260F"/>
    <w:rsid w:val="002A4525"/>
    <w:rsid w:val="002B2F5B"/>
    <w:rsid w:val="002C1A26"/>
    <w:rsid w:val="002C4665"/>
    <w:rsid w:val="002C4DAD"/>
    <w:rsid w:val="002D2076"/>
    <w:rsid w:val="002D41F6"/>
    <w:rsid w:val="002E108A"/>
    <w:rsid w:val="002E4986"/>
    <w:rsid w:val="002F6346"/>
    <w:rsid w:val="002F7B6C"/>
    <w:rsid w:val="00301323"/>
    <w:rsid w:val="003179BC"/>
    <w:rsid w:val="0033783F"/>
    <w:rsid w:val="0034294E"/>
    <w:rsid w:val="00347509"/>
    <w:rsid w:val="00352844"/>
    <w:rsid w:val="00354B87"/>
    <w:rsid w:val="003A4527"/>
    <w:rsid w:val="003B5262"/>
    <w:rsid w:val="003C0177"/>
    <w:rsid w:val="003C200F"/>
    <w:rsid w:val="003D6C15"/>
    <w:rsid w:val="004054A7"/>
    <w:rsid w:val="0040615D"/>
    <w:rsid w:val="00437752"/>
    <w:rsid w:val="004704AC"/>
    <w:rsid w:val="004847A6"/>
    <w:rsid w:val="004848A7"/>
    <w:rsid w:val="00495C67"/>
    <w:rsid w:val="004F2AF5"/>
    <w:rsid w:val="005140CF"/>
    <w:rsid w:val="00526BC6"/>
    <w:rsid w:val="0055751B"/>
    <w:rsid w:val="00587C96"/>
    <w:rsid w:val="005967C7"/>
    <w:rsid w:val="005A63D5"/>
    <w:rsid w:val="005A78F5"/>
    <w:rsid w:val="005D414A"/>
    <w:rsid w:val="005E7C0B"/>
    <w:rsid w:val="00605FFE"/>
    <w:rsid w:val="006150F9"/>
    <w:rsid w:val="00622A54"/>
    <w:rsid w:val="00626257"/>
    <w:rsid w:val="006439CE"/>
    <w:rsid w:val="00647298"/>
    <w:rsid w:val="006535F7"/>
    <w:rsid w:val="00666F95"/>
    <w:rsid w:val="0067357F"/>
    <w:rsid w:val="0067721D"/>
    <w:rsid w:val="00685E6E"/>
    <w:rsid w:val="006A11AC"/>
    <w:rsid w:val="006B7621"/>
    <w:rsid w:val="006C46A3"/>
    <w:rsid w:val="006C5486"/>
    <w:rsid w:val="006D43FA"/>
    <w:rsid w:val="006E1CEB"/>
    <w:rsid w:val="00707273"/>
    <w:rsid w:val="007074BE"/>
    <w:rsid w:val="0071176E"/>
    <w:rsid w:val="00717907"/>
    <w:rsid w:val="00730456"/>
    <w:rsid w:val="00731944"/>
    <w:rsid w:val="0073794F"/>
    <w:rsid w:val="0076256F"/>
    <w:rsid w:val="00790F6E"/>
    <w:rsid w:val="007C20DD"/>
    <w:rsid w:val="007D5F34"/>
    <w:rsid w:val="007E4B66"/>
    <w:rsid w:val="00837CA3"/>
    <w:rsid w:val="00872369"/>
    <w:rsid w:val="0087387E"/>
    <w:rsid w:val="008E6F4E"/>
    <w:rsid w:val="008F3F61"/>
    <w:rsid w:val="00904857"/>
    <w:rsid w:val="00906186"/>
    <w:rsid w:val="00910C41"/>
    <w:rsid w:val="0091632B"/>
    <w:rsid w:val="0092319C"/>
    <w:rsid w:val="0093023F"/>
    <w:rsid w:val="00932D43"/>
    <w:rsid w:val="0093355E"/>
    <w:rsid w:val="009605DE"/>
    <w:rsid w:val="00981A05"/>
    <w:rsid w:val="009836B8"/>
    <w:rsid w:val="00983FB5"/>
    <w:rsid w:val="009B0909"/>
    <w:rsid w:val="009D6A5A"/>
    <w:rsid w:val="00A02DD8"/>
    <w:rsid w:val="00A56D4F"/>
    <w:rsid w:val="00AA2D63"/>
    <w:rsid w:val="00AA2ED7"/>
    <w:rsid w:val="00AC6F68"/>
    <w:rsid w:val="00AE49EC"/>
    <w:rsid w:val="00AF134C"/>
    <w:rsid w:val="00B23308"/>
    <w:rsid w:val="00B3188A"/>
    <w:rsid w:val="00B360B3"/>
    <w:rsid w:val="00B4315C"/>
    <w:rsid w:val="00B5032B"/>
    <w:rsid w:val="00B6567E"/>
    <w:rsid w:val="00B957D5"/>
    <w:rsid w:val="00BB18CF"/>
    <w:rsid w:val="00BD0ACA"/>
    <w:rsid w:val="00BE0BCC"/>
    <w:rsid w:val="00C42FA8"/>
    <w:rsid w:val="00C43B02"/>
    <w:rsid w:val="00C45469"/>
    <w:rsid w:val="00C62CD5"/>
    <w:rsid w:val="00C85F23"/>
    <w:rsid w:val="00C92D11"/>
    <w:rsid w:val="00CA596A"/>
    <w:rsid w:val="00CA61A9"/>
    <w:rsid w:val="00CF52C3"/>
    <w:rsid w:val="00CF5340"/>
    <w:rsid w:val="00D0515D"/>
    <w:rsid w:val="00D3191C"/>
    <w:rsid w:val="00D35C7B"/>
    <w:rsid w:val="00D44332"/>
    <w:rsid w:val="00D50C32"/>
    <w:rsid w:val="00D645C0"/>
    <w:rsid w:val="00D775A8"/>
    <w:rsid w:val="00D90682"/>
    <w:rsid w:val="00DA007C"/>
    <w:rsid w:val="00DA0CB6"/>
    <w:rsid w:val="00DF7C5F"/>
    <w:rsid w:val="00E237D2"/>
    <w:rsid w:val="00E25A62"/>
    <w:rsid w:val="00E92153"/>
    <w:rsid w:val="00EA40C4"/>
    <w:rsid w:val="00ED45E2"/>
    <w:rsid w:val="00EE2E35"/>
    <w:rsid w:val="00F01F3B"/>
    <w:rsid w:val="00F0532C"/>
    <w:rsid w:val="00F12FAA"/>
    <w:rsid w:val="00F53A83"/>
    <w:rsid w:val="00F65CB1"/>
    <w:rsid w:val="00FB6B49"/>
    <w:rsid w:val="00FC2736"/>
    <w:rsid w:val="00FC66DF"/>
    <w:rsid w:val="00FE3B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607CA"/>
  <w15:docId w15:val="{8599D192-506C-422F-8673-E31DC6FF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486"/>
  </w:style>
  <w:style w:type="paragraph" w:styleId="Ttulo1">
    <w:name w:val="heading 1"/>
    <w:basedOn w:val="Normal"/>
    <w:next w:val="Normal"/>
    <w:link w:val="Ttulo1Car"/>
    <w:uiPriority w:val="9"/>
    <w:qFormat/>
    <w:rsid w:val="00347509"/>
    <w:pPr>
      <w:spacing w:line="360" w:lineRule="auto"/>
      <w:jc w:val="both"/>
      <w:outlineLvl w:val="0"/>
    </w:pPr>
    <w:rPr>
      <w:b/>
      <w:bCs/>
      <w:color w:val="333333"/>
      <w:sz w:val="32"/>
      <w:szCs w:val="32"/>
    </w:rPr>
  </w:style>
  <w:style w:type="paragraph" w:styleId="Ttulo3">
    <w:name w:val="heading 3"/>
    <w:basedOn w:val="Normal"/>
    <w:next w:val="Normal"/>
    <w:link w:val="Ttulo3Car"/>
    <w:uiPriority w:val="9"/>
    <w:semiHidden/>
    <w:unhideWhenUsed/>
    <w:qFormat/>
    <w:rsid w:val="002A452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D775A8"/>
    <w:pPr>
      <w:tabs>
        <w:tab w:val="right" w:leader="dot" w:pos="8828"/>
      </w:tabs>
      <w:spacing w:before="120" w:beforeAutospacing="1" w:after="120" w:afterAutospacing="1" w:line="276" w:lineRule="auto"/>
    </w:pPr>
    <w:rPr>
      <w:rFonts w:eastAsia="Times New Roman" w:cs="Arial"/>
      <w:b/>
      <w:bCs/>
      <w:noProof/>
      <w:color w:val="000000"/>
      <w:szCs w:val="20"/>
      <w:lang w:val="es-ES" w:bidi="en-US"/>
    </w:rPr>
  </w:style>
  <w:style w:type="paragraph" w:styleId="TDC2">
    <w:name w:val="toc 2"/>
    <w:basedOn w:val="Normal"/>
    <w:next w:val="Normal"/>
    <w:autoRedefine/>
    <w:uiPriority w:val="39"/>
    <w:unhideWhenUsed/>
    <w:qFormat/>
    <w:rsid w:val="00D775A8"/>
    <w:pPr>
      <w:spacing w:beforeAutospacing="1" w:after="0" w:afterAutospacing="1" w:line="276" w:lineRule="auto"/>
      <w:ind w:left="240"/>
    </w:pPr>
    <w:rPr>
      <w:rFonts w:eastAsia="Times New Roman" w:cs="Arial"/>
      <w:b/>
      <w:color w:val="000000"/>
      <w:szCs w:val="20"/>
      <w:lang w:bidi="en-US"/>
    </w:rPr>
  </w:style>
  <w:style w:type="paragraph" w:styleId="TDC3">
    <w:name w:val="toc 3"/>
    <w:basedOn w:val="Normal"/>
    <w:next w:val="Normal"/>
    <w:autoRedefine/>
    <w:uiPriority w:val="39"/>
    <w:unhideWhenUsed/>
    <w:qFormat/>
    <w:rsid w:val="00D775A8"/>
    <w:pPr>
      <w:spacing w:beforeAutospacing="1" w:after="0" w:afterAutospacing="1" w:line="276" w:lineRule="auto"/>
      <w:ind w:left="480"/>
    </w:pPr>
    <w:rPr>
      <w:rFonts w:eastAsia="Times New Roman" w:cs="Arial"/>
      <w:b/>
      <w:iCs/>
      <w:color w:val="000000"/>
      <w:szCs w:val="20"/>
      <w:lang w:bidi="en-US"/>
    </w:rPr>
  </w:style>
  <w:style w:type="paragraph" w:customStyle="1" w:styleId="Default">
    <w:name w:val="Default"/>
    <w:rsid w:val="00AA2ED7"/>
    <w:pPr>
      <w:autoSpaceDE w:val="0"/>
      <w:autoSpaceDN w:val="0"/>
      <w:adjustRightInd w:val="0"/>
      <w:spacing w:after="0" w:line="240" w:lineRule="auto"/>
    </w:pPr>
    <w:rPr>
      <w:rFonts w:ascii="Arial" w:hAnsi="Arial" w:cs="Arial"/>
      <w:color w:val="000000"/>
      <w:lang w:val="es-ES"/>
    </w:rPr>
  </w:style>
  <w:style w:type="paragraph" w:styleId="NormalWeb">
    <w:name w:val="Normal (Web)"/>
    <w:basedOn w:val="Normal"/>
    <w:link w:val="NormalWebCar"/>
    <w:uiPriority w:val="99"/>
    <w:unhideWhenUsed/>
    <w:rsid w:val="00C45469"/>
    <w:pPr>
      <w:spacing w:before="100" w:beforeAutospacing="1" w:after="100" w:afterAutospacing="1" w:line="240" w:lineRule="auto"/>
    </w:pPr>
    <w:rPr>
      <w:lang w:val="es-ES_tradnl" w:eastAsia="es-ES_tradnl"/>
    </w:rPr>
  </w:style>
  <w:style w:type="character" w:customStyle="1" w:styleId="NormalWebCar">
    <w:name w:val="Normal (Web) Car"/>
    <w:basedOn w:val="Fuentedeprrafopredeter"/>
    <w:link w:val="NormalWeb"/>
    <w:uiPriority w:val="99"/>
    <w:rsid w:val="00C45469"/>
    <w:rPr>
      <w:lang w:val="es-ES_tradnl" w:eastAsia="es-ES_tradnl"/>
    </w:rPr>
  </w:style>
  <w:style w:type="table" w:styleId="Tablaconcuadrcula">
    <w:name w:val="Table Grid"/>
    <w:basedOn w:val="Tablanormal"/>
    <w:uiPriority w:val="59"/>
    <w:rsid w:val="005140C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A63D5"/>
    <w:rPr>
      <w:color w:val="0563C1" w:themeColor="hyperlink"/>
      <w:u w:val="single"/>
    </w:rPr>
  </w:style>
  <w:style w:type="paragraph" w:styleId="HTMLconformatoprevio">
    <w:name w:val="HTML Preformatted"/>
    <w:basedOn w:val="Normal"/>
    <w:link w:val="HTMLconformatoprevioCar"/>
    <w:uiPriority w:val="99"/>
    <w:semiHidden/>
    <w:unhideWhenUsed/>
    <w:rsid w:val="005A6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5A63D5"/>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3179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79BC"/>
  </w:style>
  <w:style w:type="paragraph" w:styleId="Piedepgina">
    <w:name w:val="footer"/>
    <w:basedOn w:val="Normal"/>
    <w:link w:val="PiedepginaCar"/>
    <w:uiPriority w:val="99"/>
    <w:unhideWhenUsed/>
    <w:rsid w:val="003179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79BC"/>
  </w:style>
  <w:style w:type="paragraph" w:styleId="Sinespaciado">
    <w:name w:val="No Spacing"/>
    <w:link w:val="SinespaciadoCar"/>
    <w:uiPriority w:val="1"/>
    <w:qFormat/>
    <w:rsid w:val="006C5486"/>
    <w:pPr>
      <w:spacing w:after="0" w:line="240" w:lineRule="auto"/>
    </w:pPr>
    <w:rPr>
      <w:rFonts w:asciiTheme="minorHAnsi" w:eastAsiaTheme="minorEastAsia" w:hAnsiTheme="minorHAnsi" w:cstheme="minorBidi"/>
      <w:sz w:val="22"/>
      <w:szCs w:val="22"/>
      <w:lang w:eastAsia="es-MX"/>
    </w:rPr>
  </w:style>
  <w:style w:type="character" w:customStyle="1" w:styleId="SinespaciadoCar">
    <w:name w:val="Sin espaciado Car"/>
    <w:basedOn w:val="Fuentedeprrafopredeter"/>
    <w:link w:val="Sinespaciado"/>
    <w:uiPriority w:val="1"/>
    <w:rsid w:val="006C5486"/>
    <w:rPr>
      <w:rFonts w:asciiTheme="minorHAnsi" w:eastAsiaTheme="minorEastAsia" w:hAnsiTheme="minorHAnsi" w:cstheme="minorBidi"/>
      <w:sz w:val="22"/>
      <w:szCs w:val="22"/>
      <w:lang w:eastAsia="es-MX"/>
    </w:rPr>
  </w:style>
  <w:style w:type="table" w:customStyle="1" w:styleId="Tablanormal21">
    <w:name w:val="Tabla normal 21"/>
    <w:basedOn w:val="Tablanormal"/>
    <w:uiPriority w:val="42"/>
    <w:rsid w:val="00685E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ntenido">
    <w:name w:val="Contenido"/>
    <w:basedOn w:val="Normal"/>
    <w:link w:val="ContenidoCar"/>
    <w:qFormat/>
    <w:rsid w:val="0091632B"/>
    <w:pPr>
      <w:spacing w:before="240" w:after="240" w:line="360" w:lineRule="auto"/>
      <w:ind w:firstLine="709"/>
      <w:jc w:val="both"/>
    </w:pPr>
    <w:rPr>
      <w:rFonts w:eastAsia="Times New Roman"/>
      <w:lang w:val="es-ES" w:eastAsia="es-ES"/>
    </w:rPr>
  </w:style>
  <w:style w:type="character" w:customStyle="1" w:styleId="ContenidoCar">
    <w:name w:val="Contenido Car"/>
    <w:link w:val="Contenido"/>
    <w:rsid w:val="0091632B"/>
    <w:rPr>
      <w:rFonts w:eastAsia="Times New Roman"/>
      <w:lang w:val="es-ES" w:eastAsia="es-ES"/>
    </w:rPr>
  </w:style>
  <w:style w:type="paragraph" w:styleId="Bibliografa">
    <w:name w:val="Bibliography"/>
    <w:basedOn w:val="Normal"/>
    <w:next w:val="Normal"/>
    <w:uiPriority w:val="37"/>
    <w:unhideWhenUsed/>
    <w:rsid w:val="0091632B"/>
    <w:pPr>
      <w:spacing w:after="0" w:line="360" w:lineRule="auto"/>
      <w:ind w:firstLine="709"/>
      <w:jc w:val="both"/>
    </w:pPr>
    <w:rPr>
      <w:rFonts w:cstheme="minorBidi"/>
      <w:szCs w:val="22"/>
    </w:rPr>
  </w:style>
  <w:style w:type="character" w:styleId="nfasis">
    <w:name w:val="Emphasis"/>
    <w:basedOn w:val="Fuentedeprrafopredeter"/>
    <w:uiPriority w:val="20"/>
    <w:qFormat/>
    <w:rsid w:val="00DF7C5F"/>
    <w:rPr>
      <w:i/>
      <w:iCs/>
    </w:rPr>
  </w:style>
  <w:style w:type="character" w:customStyle="1" w:styleId="Ttulo1Car">
    <w:name w:val="Título 1 Car"/>
    <w:basedOn w:val="Fuentedeprrafopredeter"/>
    <w:link w:val="Ttulo1"/>
    <w:uiPriority w:val="9"/>
    <w:rsid w:val="00347509"/>
    <w:rPr>
      <w:b/>
      <w:bCs/>
      <w:color w:val="333333"/>
      <w:sz w:val="32"/>
      <w:szCs w:val="32"/>
    </w:rPr>
  </w:style>
  <w:style w:type="paragraph" w:styleId="Prrafodelista">
    <w:name w:val="List Paragraph"/>
    <w:basedOn w:val="Normal"/>
    <w:uiPriority w:val="34"/>
    <w:qFormat/>
    <w:rsid w:val="00F12FAA"/>
    <w:pPr>
      <w:ind w:left="720"/>
      <w:contextualSpacing/>
    </w:pPr>
  </w:style>
  <w:style w:type="character" w:styleId="Refdecomentario">
    <w:name w:val="annotation reference"/>
    <w:basedOn w:val="Fuentedeprrafopredeter"/>
    <w:uiPriority w:val="99"/>
    <w:semiHidden/>
    <w:unhideWhenUsed/>
    <w:rsid w:val="000679BA"/>
    <w:rPr>
      <w:sz w:val="16"/>
      <w:szCs w:val="16"/>
    </w:rPr>
  </w:style>
  <w:style w:type="paragraph" w:styleId="Textocomentario">
    <w:name w:val="annotation text"/>
    <w:basedOn w:val="Normal"/>
    <w:link w:val="TextocomentarioCar"/>
    <w:uiPriority w:val="99"/>
    <w:unhideWhenUsed/>
    <w:rsid w:val="000679BA"/>
    <w:pPr>
      <w:spacing w:line="240" w:lineRule="auto"/>
    </w:pPr>
    <w:rPr>
      <w:sz w:val="20"/>
      <w:szCs w:val="20"/>
    </w:rPr>
  </w:style>
  <w:style w:type="character" w:customStyle="1" w:styleId="TextocomentarioCar">
    <w:name w:val="Texto comentario Car"/>
    <w:basedOn w:val="Fuentedeprrafopredeter"/>
    <w:link w:val="Textocomentario"/>
    <w:uiPriority w:val="99"/>
    <w:rsid w:val="000679BA"/>
    <w:rPr>
      <w:sz w:val="20"/>
      <w:szCs w:val="20"/>
    </w:rPr>
  </w:style>
  <w:style w:type="paragraph" w:styleId="Asuntodelcomentario">
    <w:name w:val="annotation subject"/>
    <w:basedOn w:val="Textocomentario"/>
    <w:next w:val="Textocomentario"/>
    <w:link w:val="AsuntodelcomentarioCar"/>
    <w:uiPriority w:val="99"/>
    <w:semiHidden/>
    <w:unhideWhenUsed/>
    <w:rsid w:val="000679BA"/>
    <w:rPr>
      <w:b/>
      <w:bCs/>
    </w:rPr>
  </w:style>
  <w:style w:type="character" w:customStyle="1" w:styleId="AsuntodelcomentarioCar">
    <w:name w:val="Asunto del comentario Car"/>
    <w:basedOn w:val="TextocomentarioCar"/>
    <w:link w:val="Asuntodelcomentario"/>
    <w:uiPriority w:val="99"/>
    <w:semiHidden/>
    <w:rsid w:val="000679BA"/>
    <w:rPr>
      <w:b/>
      <w:bCs/>
      <w:sz w:val="20"/>
      <w:szCs w:val="20"/>
    </w:rPr>
  </w:style>
  <w:style w:type="paragraph" w:styleId="Textodeglobo">
    <w:name w:val="Balloon Text"/>
    <w:basedOn w:val="Normal"/>
    <w:link w:val="TextodegloboCar"/>
    <w:uiPriority w:val="99"/>
    <w:semiHidden/>
    <w:unhideWhenUsed/>
    <w:rsid w:val="000679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79BA"/>
    <w:rPr>
      <w:rFonts w:ascii="Tahoma" w:hAnsi="Tahoma" w:cs="Tahoma"/>
      <w:sz w:val="16"/>
      <w:szCs w:val="16"/>
    </w:rPr>
  </w:style>
  <w:style w:type="character" w:customStyle="1" w:styleId="Ttulo3Car">
    <w:name w:val="Título 3 Car"/>
    <w:basedOn w:val="Fuentedeprrafopredeter"/>
    <w:link w:val="Ttulo3"/>
    <w:uiPriority w:val="9"/>
    <w:semiHidden/>
    <w:rsid w:val="002A452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7258">
      <w:bodyDiv w:val="1"/>
      <w:marLeft w:val="0"/>
      <w:marRight w:val="0"/>
      <w:marTop w:val="0"/>
      <w:marBottom w:val="0"/>
      <w:divBdr>
        <w:top w:val="none" w:sz="0" w:space="0" w:color="auto"/>
        <w:left w:val="none" w:sz="0" w:space="0" w:color="auto"/>
        <w:bottom w:val="none" w:sz="0" w:space="0" w:color="auto"/>
        <w:right w:val="none" w:sz="0" w:space="0" w:color="auto"/>
      </w:divBdr>
    </w:div>
    <w:div w:id="1721053093">
      <w:bodyDiv w:val="1"/>
      <w:marLeft w:val="0"/>
      <w:marRight w:val="0"/>
      <w:marTop w:val="0"/>
      <w:marBottom w:val="0"/>
      <w:divBdr>
        <w:top w:val="none" w:sz="0" w:space="0" w:color="auto"/>
        <w:left w:val="none" w:sz="0" w:space="0" w:color="auto"/>
        <w:bottom w:val="none" w:sz="0" w:space="0" w:color="auto"/>
        <w:right w:val="none" w:sz="0" w:space="0" w:color="auto"/>
      </w:divBdr>
    </w:div>
    <w:div w:id="198812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rdoignaciog@yahoo.com.m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brendagh@gmail.com" TargetMode="External"/><Relationship Id="rId12" Type="http://schemas.openxmlformats.org/officeDocument/2006/relationships/hyperlink" Target="http://www.redalyc.org/jatsRepo/290/29055767010/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egi.org.mx/est/contenidos/proyectos/encuestas/establecimientos/otras/enaproc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redalyc.org/articulo.oa?id=60141352006" TargetMode="External"/><Relationship Id="rId4" Type="http://schemas.openxmlformats.org/officeDocument/2006/relationships/webSettings" Target="webSettings.xml"/><Relationship Id="rId9" Type="http://schemas.openxmlformats.org/officeDocument/2006/relationships/hyperlink" Target="https://doi.org/10.1177/135910530809506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23</Pages>
  <Words>7412</Words>
  <Characters>40766</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XXIII Congreso Internacional de Investigación en Ciencias Administrativas
bajo el tema
“La Economía Digital y su Impacto en la Gestión de las Organizaciones”</vt:lpstr>
    </vt:vector>
  </TitlesOfParts>
  <Company>Casa</Company>
  <LinksUpToDate>false</LinksUpToDate>
  <CharactersWithSpaces>48082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XXIII Congreso Internacional de Investigación en Ciencias Administrativas
bajo el tema
“La Economía Digital y su Impacto en la Gestión de las Organizaciones”</dc:title>
  <dc:subject>Análisis correlacional del bienestar psicológico en el trabajo, el liderazgo transformacional y la confianza en el líder como variable mediadora: Estudio de caso de una pequeña industria de la ciudad de Durango, Durango, México.</dc:subject>
  <dc:creator>Brenda</dc:creator>
  <cp:keywords/>
  <dc:description/>
  <cp:lastModifiedBy>elsom</cp:lastModifiedBy>
  <cp:revision>16</cp:revision>
  <dcterms:created xsi:type="dcterms:W3CDTF">2019-09-13T01:17:00Z</dcterms:created>
  <dcterms:modified xsi:type="dcterms:W3CDTF">2020-03-21T22:35:00Z</dcterms:modified>
</cp:coreProperties>
</file>